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word/drawings/drawing8.xml" ContentType="application/vnd.openxmlformats-officedocument.drawingml.chartshapes+xml"/>
  <Override PartName="/word/drawings/drawing9.xml" ContentType="application/vnd.openxmlformats-officedocument.drawingml.chartshapes+xml"/>
  <Default Extension="jpeg" ContentType="image/jpeg"/>
  <Override PartName="/word/drawings/drawing6.xml" ContentType="application/vnd.openxmlformats-officedocument.drawingml.chartshapes+xml"/>
  <Override PartName="/word/drawings/drawing7.xml" ContentType="application/vnd.openxmlformats-officedocument.drawingml.chartshapes+xml"/>
  <Override PartName="/word/drawings/drawing18.xml" ContentType="application/vnd.openxmlformats-officedocument.drawingml.chartshapes+xml"/>
  <Override PartName="/word/drawings/drawing19.xml" ContentType="application/vnd.openxmlformats-officedocument.drawingml.chartshap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rawings/drawing16.xml" ContentType="application/vnd.openxmlformats-officedocument.drawingml.chartshapes+xml"/>
  <Override PartName="/word/drawings/drawing17.xml" ContentType="application/vnd.openxmlformats-officedocument.drawingml.chartshapes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2.xml" ContentType="application/vnd.openxmlformats-officedocument.drawingml.chartshapes+xml"/>
  <Override PartName="/word/drawings/drawing13.xml" ContentType="application/vnd.openxmlformats-officedocument.drawingml.chartshapes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drawings/drawing20.xml" ContentType="application/vnd.openxmlformats-officedocument.drawingml.chartshap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CE" w:rsidRPr="00C754C5" w:rsidRDefault="004F06CE" w:rsidP="002F2DCE">
      <w:pPr>
        <w:rPr>
          <w:rFonts w:asciiTheme="minorHAnsi" w:hAnsiTheme="minorHAnsi"/>
          <w:color w:val="333333"/>
          <w:sz w:val="28"/>
          <w:szCs w:val="28"/>
        </w:rPr>
      </w:pPr>
      <w:r w:rsidRPr="00C754C5">
        <w:rPr>
          <w:rFonts w:asciiTheme="minorHAnsi" w:hAnsiTheme="minorHAnsi"/>
          <w:b/>
          <w:bCs/>
          <w:color w:val="333333"/>
          <w:sz w:val="28"/>
          <w:szCs w:val="28"/>
        </w:rPr>
        <w:t>Общие тенденции на р</w:t>
      </w:r>
      <w:r w:rsidR="00E06B77" w:rsidRPr="00C754C5">
        <w:rPr>
          <w:rFonts w:asciiTheme="minorHAnsi" w:hAnsiTheme="minorHAnsi"/>
          <w:b/>
          <w:bCs/>
          <w:color w:val="333333"/>
          <w:sz w:val="28"/>
          <w:szCs w:val="28"/>
        </w:rPr>
        <w:t>ынк</w:t>
      </w:r>
      <w:r w:rsidRPr="00C754C5">
        <w:rPr>
          <w:rFonts w:asciiTheme="minorHAnsi" w:hAnsiTheme="minorHAnsi"/>
          <w:b/>
          <w:bCs/>
          <w:color w:val="333333"/>
          <w:sz w:val="28"/>
          <w:szCs w:val="28"/>
        </w:rPr>
        <w:t>е</w:t>
      </w:r>
      <w:r w:rsidR="00CD5723"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 </w:t>
      </w:r>
      <w:r w:rsidR="004769C7">
        <w:rPr>
          <w:rFonts w:asciiTheme="minorHAnsi" w:hAnsiTheme="minorHAnsi"/>
          <w:b/>
          <w:bCs/>
          <w:color w:val="333333"/>
          <w:sz w:val="28"/>
          <w:szCs w:val="28"/>
        </w:rPr>
        <w:t xml:space="preserve">жилья </w:t>
      </w:r>
      <w:r w:rsidR="008226B7">
        <w:rPr>
          <w:rFonts w:asciiTheme="minorHAnsi" w:hAnsiTheme="minorHAnsi"/>
          <w:b/>
          <w:bCs/>
          <w:color w:val="333333"/>
          <w:sz w:val="28"/>
          <w:szCs w:val="28"/>
        </w:rPr>
        <w:t>Тольятти</w:t>
      </w:r>
      <w:r w:rsidR="00DE4078" w:rsidRPr="00C754C5">
        <w:rPr>
          <w:rFonts w:asciiTheme="minorHAnsi" w:hAnsiTheme="minorHAnsi"/>
          <w:b/>
          <w:bCs/>
          <w:color w:val="333333"/>
          <w:sz w:val="28"/>
          <w:szCs w:val="28"/>
        </w:rPr>
        <w:t>.</w:t>
      </w:r>
      <w:r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 </w:t>
      </w:r>
      <w:r w:rsidR="000D5B14">
        <w:rPr>
          <w:rFonts w:asciiTheme="minorHAnsi" w:hAnsiTheme="minorHAnsi"/>
          <w:b/>
          <w:bCs/>
          <w:color w:val="333333"/>
          <w:sz w:val="28"/>
          <w:szCs w:val="28"/>
        </w:rPr>
        <w:t>Дека</w:t>
      </w:r>
      <w:r w:rsidR="003E7588">
        <w:rPr>
          <w:rFonts w:asciiTheme="minorHAnsi" w:hAnsiTheme="minorHAnsi"/>
          <w:b/>
          <w:bCs/>
          <w:color w:val="333333"/>
          <w:sz w:val="28"/>
          <w:szCs w:val="28"/>
        </w:rPr>
        <w:t>брь</w:t>
      </w:r>
      <w:r w:rsidR="00AE1425"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 </w:t>
      </w:r>
      <w:r w:rsidR="002F2DCE" w:rsidRPr="00C754C5">
        <w:rPr>
          <w:rFonts w:asciiTheme="minorHAnsi" w:hAnsiTheme="minorHAnsi"/>
          <w:b/>
          <w:bCs/>
          <w:color w:val="333333"/>
          <w:sz w:val="28"/>
          <w:szCs w:val="28"/>
        </w:rPr>
        <w:t>201</w:t>
      </w:r>
      <w:r w:rsidR="00B63926" w:rsidRPr="00C754C5">
        <w:rPr>
          <w:rFonts w:asciiTheme="minorHAnsi" w:hAnsiTheme="minorHAnsi"/>
          <w:b/>
          <w:bCs/>
          <w:color w:val="333333"/>
          <w:sz w:val="28"/>
          <w:szCs w:val="28"/>
        </w:rPr>
        <w:t>3</w:t>
      </w:r>
      <w:r w:rsidR="002F2DCE"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 года.</w:t>
      </w:r>
    </w:p>
    <w:p w:rsidR="002F2DCE" w:rsidRPr="00C754C5" w:rsidRDefault="002F2DCE" w:rsidP="002F2DCE">
      <w:pPr>
        <w:rPr>
          <w:rFonts w:asciiTheme="minorHAnsi" w:hAnsiTheme="minorHAnsi"/>
        </w:rPr>
      </w:pPr>
      <w:r w:rsidRPr="00C754C5">
        <w:rPr>
          <w:rFonts w:asciiTheme="minorHAnsi" w:hAnsiTheme="minorHAnsi"/>
        </w:rPr>
        <w:t xml:space="preserve">(Мария </w:t>
      </w:r>
      <w:proofErr w:type="spellStart"/>
      <w:r w:rsidRPr="00C754C5">
        <w:rPr>
          <w:rFonts w:asciiTheme="minorHAnsi" w:hAnsiTheme="minorHAnsi"/>
        </w:rPr>
        <w:t>Бент</w:t>
      </w:r>
      <w:proofErr w:type="spellEnd"/>
      <w:r w:rsidRPr="00C754C5">
        <w:rPr>
          <w:rFonts w:asciiTheme="minorHAnsi" w:hAnsiTheme="minorHAnsi"/>
        </w:rPr>
        <w:t>, САРН, Групп</w:t>
      </w:r>
      <w:r w:rsidR="004F3B96" w:rsidRPr="00C754C5">
        <w:rPr>
          <w:rFonts w:asciiTheme="minorHAnsi" w:hAnsiTheme="minorHAnsi"/>
        </w:rPr>
        <w:t>а</w:t>
      </w:r>
      <w:r w:rsidRPr="00C754C5">
        <w:rPr>
          <w:rFonts w:asciiTheme="minorHAnsi" w:hAnsiTheme="minorHAnsi"/>
        </w:rPr>
        <w:t xml:space="preserve"> компаний "Бюллетень Недвижимости")</w:t>
      </w:r>
    </w:p>
    <w:p w:rsidR="002F2DCE" w:rsidRDefault="002F2DCE" w:rsidP="00E23604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 w:rsidR="008F5AC7" w:rsidRDefault="008F5AC7" w:rsidP="008F5AC7">
      <w:pPr>
        <w:pStyle w:val="Tabledate"/>
        <w:jc w:val="left"/>
        <w:rPr>
          <w:rFonts w:asciiTheme="minorHAnsi" w:hAnsiTheme="minorHAnsi"/>
          <w:sz w:val="24"/>
          <w:szCs w:val="24"/>
          <w:u w:val="single"/>
        </w:rPr>
      </w:pPr>
      <w:bookmarkStart w:id="0" w:name="OLE_LINK5"/>
      <w:r w:rsidRPr="008F5AC7">
        <w:rPr>
          <w:rFonts w:asciiTheme="minorHAnsi" w:hAnsiTheme="minorHAnsi"/>
          <w:sz w:val="24"/>
          <w:szCs w:val="24"/>
          <w:u w:val="single"/>
        </w:rPr>
        <w:t>Вторичный рынок квартир</w:t>
      </w:r>
    </w:p>
    <w:p w:rsidR="008F5AC7" w:rsidRPr="008F5AC7" w:rsidRDefault="008F5AC7" w:rsidP="008F5AC7">
      <w:pPr>
        <w:pStyle w:val="Tabledate"/>
        <w:jc w:val="left"/>
        <w:rPr>
          <w:rFonts w:asciiTheme="minorHAnsi" w:hAnsiTheme="minorHAnsi"/>
          <w:sz w:val="24"/>
          <w:szCs w:val="24"/>
        </w:r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За </w:t>
      </w:r>
      <w:r w:rsidRPr="000F520C">
        <w:rPr>
          <w:rFonts w:asciiTheme="minorHAnsi" w:hAnsiTheme="minorHAnsi"/>
          <w:sz w:val="24"/>
          <w:szCs w:val="24"/>
          <w:lang w:val="en-US"/>
        </w:rPr>
        <w:t>II</w:t>
      </w:r>
      <w:r w:rsidRPr="000F520C">
        <w:rPr>
          <w:rFonts w:asciiTheme="minorHAnsi" w:hAnsiTheme="minorHAnsi"/>
          <w:sz w:val="24"/>
          <w:szCs w:val="24"/>
        </w:rPr>
        <w:t xml:space="preserve"> полугодие изменение средней цены предложения на вторичном рынке квартир в рублевом эквиваленте составило 4,5%, это 2 тыс. руб. с квадратного метра. Показатель средней цены предложения в декабре 2013 года составил 46,4 тыс. руб. за кв. м.</w:t>
      </w: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8F5AC7" w:rsidRDefault="008F5AC7" w:rsidP="008F5AC7">
      <w:pPr>
        <w:pStyle w:val="Tabledate"/>
        <w:rPr>
          <w:rFonts w:asciiTheme="minorHAnsi" w:hAnsiTheme="minorHAnsi"/>
          <w:i/>
          <w:iCs/>
        </w:rPr>
        <w:sectPr w:rsidR="008F5AC7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F5AC7" w:rsidRPr="008F5AC7" w:rsidRDefault="008F5AC7" w:rsidP="008F5AC7">
      <w:pPr>
        <w:pStyle w:val="Tabledate"/>
        <w:jc w:val="left"/>
        <w:rPr>
          <w:rFonts w:asciiTheme="minorHAnsi" w:hAnsiTheme="minorHAnsi"/>
        </w:rPr>
      </w:pPr>
      <w:r w:rsidRPr="008F5AC7">
        <w:rPr>
          <w:rFonts w:asciiTheme="minorHAnsi" w:hAnsiTheme="minorHAnsi"/>
          <w:i/>
          <w:iCs/>
        </w:rPr>
        <w:lastRenderedPageBreak/>
        <w:t>Цена, руб./кв. м</w:t>
      </w:r>
    </w:p>
    <w:p w:rsidR="008F5AC7" w:rsidRPr="008F5AC7" w:rsidRDefault="008F5AC7" w:rsidP="008F5AC7">
      <w:pPr>
        <w:pStyle w:val="Tabledate"/>
        <w:jc w:val="left"/>
        <w:rPr>
          <w:rFonts w:asciiTheme="minorHAnsi" w:hAnsiTheme="minorHAnsi"/>
        </w:rPr>
      </w:pPr>
      <w:r w:rsidRPr="008F5AC7">
        <w:rPr>
          <w:rFonts w:asciiTheme="minorHAnsi" w:hAnsiTheme="minorHAnsi"/>
          <w:i/>
          <w:iCs/>
        </w:rPr>
        <w:lastRenderedPageBreak/>
        <w:t>Изменение цены, % к предыдущему месяцу</w:t>
      </w: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8F5AC7" w:rsidSect="008F5AC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F5AC7" w:rsidRDefault="000D5B14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0D5B14">
        <w:rPr>
          <w:rFonts w:asciiTheme="minorHAnsi" w:hAnsiTheme="minorHAnsi" w:cs="Times New Roman"/>
          <w:noProof/>
          <w:sz w:val="22"/>
          <w:szCs w:val="22"/>
        </w:rPr>
        <w:lastRenderedPageBreak/>
        <w:drawing>
          <wp:inline distT="0" distB="0" distL="0" distR="0">
            <wp:extent cx="3097213" cy="1800225"/>
            <wp:effectExtent l="19050" t="0" r="26987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Pr="000D5B14">
        <w:rPr>
          <w:rFonts w:asciiTheme="minorHAnsi" w:hAnsiTheme="minorHAnsi" w:cs="Times New Roman"/>
          <w:noProof/>
          <w:sz w:val="22"/>
          <w:szCs w:val="22"/>
        </w:rPr>
        <w:drawing>
          <wp:inline distT="0" distB="0" distL="0" distR="0">
            <wp:extent cx="3240087" cy="1800225"/>
            <wp:effectExtent l="19050" t="0" r="17463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В декабре доля дешевых объектов, цена квадратного метра которых меньше 35 тыс. руб., составляет 5% от общего объема предложения квартир. Цена квадратного метра от 35 до 40 тыс. руб. составляет 14,6%. Большую долю рынка занимает диапазон цены от 40 до 55 тыс. руб. за кв. м, это 69,6% от объема выставленных на продажу квартир. Доля дорогих объектов, цена которых превышает 55 тыс. руб. за кв. м, составляет 10,9% от всего предложения. </w:t>
      </w: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8F5AC7" w:rsidRPr="008F5AC7" w:rsidRDefault="008F5AC7" w:rsidP="008F5AC7">
      <w:pPr>
        <w:pStyle w:val="Tabledate"/>
        <w:jc w:val="left"/>
        <w:rPr>
          <w:rFonts w:asciiTheme="minorHAnsi" w:hAnsiTheme="minorHAnsi"/>
        </w:rPr>
      </w:pPr>
      <w:r w:rsidRPr="008F5AC7">
        <w:rPr>
          <w:rFonts w:asciiTheme="minorHAnsi" w:hAnsiTheme="minorHAnsi"/>
          <w:i/>
          <w:iCs/>
        </w:rPr>
        <w:t>Распределение цены (тыс. руб./кв. м), % от общего объема</w:t>
      </w: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8F5AC7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F5AC7" w:rsidRDefault="000D5B14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0D5B14">
        <w:rPr>
          <w:rFonts w:asciiTheme="minorHAnsi" w:hAnsiTheme="minorHAnsi" w:cs="Times New Roman"/>
          <w:noProof/>
          <w:sz w:val="22"/>
          <w:szCs w:val="22"/>
        </w:rPr>
        <w:lastRenderedPageBreak/>
        <w:drawing>
          <wp:inline distT="0" distB="0" distL="0" distR="0">
            <wp:extent cx="3098165" cy="1831581"/>
            <wp:effectExtent l="19050" t="0" r="26035" b="0"/>
            <wp:docPr id="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tbl>
      <w:tblPr>
        <w:tblW w:w="4420" w:type="dxa"/>
        <w:tblCellMar>
          <w:left w:w="0" w:type="dxa"/>
          <w:right w:w="0" w:type="dxa"/>
        </w:tblCellMar>
        <w:tblLook w:val="04A0"/>
      </w:tblPr>
      <w:tblGrid>
        <w:gridCol w:w="1280"/>
        <w:gridCol w:w="1460"/>
        <w:gridCol w:w="1680"/>
      </w:tblGrid>
      <w:tr w:rsidR="000D5B14" w:rsidRPr="008F5AC7" w:rsidTr="008F5AC7">
        <w:trPr>
          <w:trHeight w:val="340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lastRenderedPageBreak/>
              <w:t>тыс.  руб./</w:t>
            </w:r>
          </w:p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кв. м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Июль 2013 г.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Декабрь 2013 г.</w:t>
            </w:r>
          </w:p>
        </w:tc>
      </w:tr>
      <w:tr w:rsidR="000D5B14" w:rsidRPr="008F5AC7" w:rsidTr="008F5AC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&lt;35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9.76%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4.95%</w:t>
            </w:r>
          </w:p>
        </w:tc>
      </w:tr>
      <w:tr w:rsidR="000D5B14" w:rsidRPr="008F5AC7" w:rsidTr="008F5AC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35-40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25.20%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14.61%</w:t>
            </w:r>
          </w:p>
        </w:tc>
      </w:tr>
      <w:tr w:rsidR="000D5B14" w:rsidRPr="008F5AC7" w:rsidTr="008F5AC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40-45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30.89%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25.44%</w:t>
            </w:r>
          </w:p>
        </w:tc>
      </w:tr>
      <w:tr w:rsidR="000D5B14" w:rsidRPr="008F5AC7" w:rsidTr="008F5AC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45-50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23.58%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24.70%</w:t>
            </w:r>
          </w:p>
        </w:tc>
      </w:tr>
      <w:tr w:rsidR="000D5B14" w:rsidRPr="008F5AC7" w:rsidTr="008F5AC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50-55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5.69%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19.42%</w:t>
            </w:r>
          </w:p>
        </w:tc>
      </w:tr>
      <w:tr w:rsidR="000D5B14" w:rsidRPr="008F5AC7" w:rsidTr="008F5AC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55-60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1.63%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6.54%</w:t>
            </w:r>
          </w:p>
        </w:tc>
      </w:tr>
      <w:tr w:rsidR="000D5B14" w:rsidRPr="008F5AC7" w:rsidTr="008F5AC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&gt;60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3.25%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4.35%</w:t>
            </w:r>
          </w:p>
        </w:tc>
      </w:tr>
    </w:tbl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8F5AC7" w:rsidSect="008F5AC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lastRenderedPageBreak/>
        <w:t xml:space="preserve">В структуре предложения на вторичном рынке квартир преобладают квартиры, имеющие не более трех комнат. Доля однокомнатных квартир в декабре составляет 30,7% рынка, двухкомнатных – 32,5%. Трехкомнатные квартиры занимают долю в размере 30%. </w:t>
      </w:r>
      <w:proofErr w:type="gramStart"/>
      <w:r w:rsidRPr="000F520C">
        <w:rPr>
          <w:rFonts w:asciiTheme="minorHAnsi" w:hAnsiTheme="minorHAnsi"/>
          <w:sz w:val="24"/>
          <w:szCs w:val="24"/>
        </w:rPr>
        <w:t>На</w:t>
      </w:r>
      <w:proofErr w:type="gramEnd"/>
      <w:r w:rsidRPr="000F520C">
        <w:rPr>
          <w:rFonts w:asciiTheme="minorHAnsi" w:hAnsiTheme="minorHAnsi"/>
          <w:sz w:val="24"/>
          <w:szCs w:val="24"/>
        </w:rPr>
        <w:t xml:space="preserve"> многокомнатные (от четырех комнат) в среднем приходится 7% от общего объема. </w:t>
      </w: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8F5AC7" w:rsidRPr="008F5AC7" w:rsidRDefault="008F5AC7" w:rsidP="008F5AC7">
      <w:pPr>
        <w:pStyle w:val="Tabledate"/>
        <w:jc w:val="left"/>
        <w:rPr>
          <w:rFonts w:asciiTheme="minorHAnsi" w:hAnsiTheme="minorHAnsi"/>
        </w:rPr>
      </w:pPr>
      <w:r w:rsidRPr="008F5AC7">
        <w:rPr>
          <w:rFonts w:asciiTheme="minorHAnsi" w:hAnsiTheme="minorHAnsi"/>
          <w:i/>
          <w:iCs/>
        </w:rPr>
        <w:t>Структура по типам квартир, % от общего объема</w:t>
      </w:r>
    </w:p>
    <w:p w:rsidR="008F5AC7" w:rsidRDefault="000D5B14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0D5B14">
        <w:rPr>
          <w:rFonts w:asciiTheme="minorHAnsi" w:hAnsiTheme="minorHAnsi" w:cs="Times New Roman"/>
          <w:noProof/>
          <w:sz w:val="22"/>
          <w:szCs w:val="22"/>
        </w:rPr>
        <w:lastRenderedPageBreak/>
        <w:drawing>
          <wp:inline distT="0" distB="0" distL="0" distR="0">
            <wp:extent cx="2806700" cy="1727200"/>
            <wp:effectExtent l="19050" t="0" r="12700" b="6350"/>
            <wp:docPr id="9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0D5B14">
        <w:rPr>
          <w:rFonts w:asciiTheme="minorHAnsi" w:hAnsiTheme="minorHAnsi" w:cs="Times New Roman"/>
          <w:noProof/>
          <w:sz w:val="22"/>
          <w:szCs w:val="22"/>
        </w:rPr>
        <w:drawing>
          <wp:inline distT="0" distB="0" distL="0" distR="0">
            <wp:extent cx="2952750" cy="1727200"/>
            <wp:effectExtent l="19050" t="0" r="19050" b="6350"/>
            <wp:docPr id="1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В среднем по вторичному рынку изменение средней цены предложения на однокомнатные квартиры составило 7,5%. Цена квадратного метра двухкомнатных квартир повысилась на 2,4%, изменение стоимости трехкомнатных составило 6,9%. Средние цены предложения на конец декабря 2013 года составили на однокомнатные квартиры 1,8 </w:t>
      </w:r>
      <w:proofErr w:type="spellStart"/>
      <w:proofErr w:type="gramStart"/>
      <w:r w:rsidRPr="000F520C">
        <w:rPr>
          <w:rFonts w:asciiTheme="minorHAnsi" w:hAnsiTheme="minorHAnsi"/>
          <w:sz w:val="24"/>
          <w:szCs w:val="24"/>
        </w:rPr>
        <w:t>млн</w:t>
      </w:r>
      <w:proofErr w:type="spellEnd"/>
      <w:proofErr w:type="gramEnd"/>
      <w:r w:rsidRPr="000F520C">
        <w:rPr>
          <w:rFonts w:asciiTheme="minorHAnsi" w:hAnsiTheme="minorHAnsi"/>
          <w:sz w:val="24"/>
          <w:szCs w:val="24"/>
        </w:rPr>
        <w:t xml:space="preserve"> руб., на двухкомнатные – 2,3 </w:t>
      </w:r>
      <w:proofErr w:type="spellStart"/>
      <w:r w:rsidRPr="000F520C">
        <w:rPr>
          <w:rFonts w:asciiTheme="minorHAnsi" w:hAnsiTheme="minorHAnsi"/>
          <w:sz w:val="24"/>
          <w:szCs w:val="24"/>
        </w:rPr>
        <w:t>млн</w:t>
      </w:r>
      <w:proofErr w:type="spellEnd"/>
      <w:r w:rsidRPr="000F520C">
        <w:rPr>
          <w:rFonts w:asciiTheme="minorHAnsi" w:hAnsiTheme="minorHAnsi"/>
          <w:sz w:val="24"/>
          <w:szCs w:val="24"/>
        </w:rPr>
        <w:t xml:space="preserve"> руб., на трехкомнатные – 3,4 </w:t>
      </w:r>
      <w:proofErr w:type="spellStart"/>
      <w:r w:rsidRPr="000F520C">
        <w:rPr>
          <w:rFonts w:asciiTheme="minorHAnsi" w:hAnsiTheme="minorHAnsi"/>
          <w:sz w:val="24"/>
          <w:szCs w:val="24"/>
        </w:rPr>
        <w:t>млн</w:t>
      </w:r>
      <w:proofErr w:type="spellEnd"/>
      <w:r w:rsidRPr="000F520C">
        <w:rPr>
          <w:rFonts w:asciiTheme="minorHAnsi" w:hAnsiTheme="minorHAnsi"/>
          <w:sz w:val="24"/>
          <w:szCs w:val="24"/>
        </w:rPr>
        <w:t xml:space="preserve"> руб.</w:t>
      </w:r>
    </w:p>
    <w:p w:rsidR="008F5AC7" w:rsidRDefault="008F5AC7" w:rsidP="008F5AC7">
      <w:pPr>
        <w:pStyle w:val="Tabledate"/>
        <w:jc w:val="left"/>
        <w:rPr>
          <w:rFonts w:asciiTheme="minorHAnsi" w:hAnsiTheme="minorHAnsi"/>
          <w:sz w:val="24"/>
          <w:szCs w:val="24"/>
        </w:rPr>
      </w:pPr>
    </w:p>
    <w:p w:rsidR="008F5AC7" w:rsidRPr="008F5AC7" w:rsidRDefault="008F5AC7" w:rsidP="008F5AC7">
      <w:pPr>
        <w:pStyle w:val="Tabledate"/>
        <w:jc w:val="left"/>
        <w:rPr>
          <w:rFonts w:asciiTheme="minorHAnsi" w:hAnsiTheme="minorHAnsi"/>
        </w:rPr>
      </w:pPr>
      <w:r w:rsidRPr="008F5AC7">
        <w:rPr>
          <w:rFonts w:asciiTheme="minorHAnsi" w:hAnsiTheme="minorHAnsi"/>
          <w:i/>
          <w:iCs/>
        </w:rPr>
        <w:t>Цена по типу квартир, руб./кв. м</w:t>
      </w:r>
    </w:p>
    <w:p w:rsidR="008F5AC7" w:rsidRDefault="008F5AC7" w:rsidP="008F5AC7">
      <w:pPr>
        <w:pStyle w:val="Tabledate"/>
        <w:jc w:val="left"/>
        <w:rPr>
          <w:rFonts w:asciiTheme="minorHAnsi" w:hAnsiTheme="minorHAnsi"/>
          <w:sz w:val="24"/>
          <w:szCs w:val="24"/>
        </w:rPr>
        <w:sectPr w:rsidR="008F5AC7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F5AC7" w:rsidRDefault="000D5B14" w:rsidP="008F5AC7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D5B14"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>
            <wp:extent cx="3097213" cy="1728787"/>
            <wp:effectExtent l="19050" t="0" r="26987" b="4763"/>
            <wp:docPr id="1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W w:w="4835" w:type="dxa"/>
        <w:tblCellMar>
          <w:left w:w="0" w:type="dxa"/>
          <w:right w:w="0" w:type="dxa"/>
        </w:tblCellMar>
        <w:tblLook w:val="04A0"/>
      </w:tblPr>
      <w:tblGrid>
        <w:gridCol w:w="580"/>
        <w:gridCol w:w="1000"/>
        <w:gridCol w:w="1020"/>
        <w:gridCol w:w="1140"/>
        <w:gridCol w:w="1095"/>
      </w:tblGrid>
      <w:tr w:rsidR="000D5B14" w:rsidRPr="008F5AC7" w:rsidTr="00A7185B">
        <w:trPr>
          <w:trHeight w:val="412"/>
        </w:trPr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Цена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 xml:space="preserve">Июль </w:t>
            </w:r>
          </w:p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2013 г.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 xml:space="preserve">Декабрь </w:t>
            </w:r>
          </w:p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2013 г.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 xml:space="preserve">Изменение </w:t>
            </w:r>
          </w:p>
          <w:p w:rsidR="000D5B14" w:rsidRDefault="000D5B14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за полугодие</w:t>
            </w:r>
          </w:p>
        </w:tc>
      </w:tr>
      <w:tr w:rsidR="000D5B14" w:rsidRPr="008F5AC7" w:rsidTr="00A7185B">
        <w:trPr>
          <w:trHeight w:val="251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1ккв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тыс.  руб.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1 784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1 790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 </w:t>
            </w:r>
          </w:p>
        </w:tc>
      </w:tr>
      <w:tr w:rsidR="000D5B14" w:rsidRPr="008F5AC7" w:rsidTr="00A7185B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14" w:rsidRPr="008F5AC7" w:rsidRDefault="000D5B14" w:rsidP="008F5AC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Pr="008F5AC7" w:rsidRDefault="000D5B14" w:rsidP="008F5AC7">
            <w:pPr>
              <w:spacing w:after="0" w:line="25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cs="Arial"/>
                <w:b/>
                <w:bCs/>
                <w:color w:val="000000"/>
                <w:kern w:val="24"/>
                <w:sz w:val="18"/>
                <w:szCs w:val="18"/>
              </w:rPr>
              <w:t>руб./кв. 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46 787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50 304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7.52%</w:t>
            </w:r>
          </w:p>
        </w:tc>
      </w:tr>
      <w:tr w:rsidR="000D5B14" w:rsidRPr="008F5AC7" w:rsidTr="00A7185B">
        <w:trPr>
          <w:trHeight w:val="251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2ккв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тыс.  руб.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2 403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2 337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 </w:t>
            </w:r>
          </w:p>
        </w:tc>
      </w:tr>
      <w:tr w:rsidR="000D5B14" w:rsidRPr="008F5AC7" w:rsidTr="00A7185B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14" w:rsidRPr="008F5AC7" w:rsidRDefault="000D5B14" w:rsidP="008F5AC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Pr="008F5AC7" w:rsidRDefault="000D5B14" w:rsidP="008F5AC7">
            <w:pPr>
              <w:spacing w:after="0" w:line="25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cs="Arial"/>
                <w:b/>
                <w:bCs/>
                <w:color w:val="000000"/>
                <w:kern w:val="24"/>
                <w:sz w:val="18"/>
                <w:szCs w:val="18"/>
              </w:rPr>
              <w:t>руб./кв. 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44 831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45 907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2.40%</w:t>
            </w:r>
          </w:p>
        </w:tc>
      </w:tr>
      <w:tr w:rsidR="000D5B14" w:rsidRPr="008F5AC7" w:rsidTr="00A7185B">
        <w:trPr>
          <w:trHeight w:val="251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3ккв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тыс.  руб.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2 998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3 366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 </w:t>
            </w:r>
          </w:p>
        </w:tc>
      </w:tr>
      <w:tr w:rsidR="000D5B14" w:rsidRPr="008F5AC7" w:rsidTr="00A7185B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14" w:rsidRPr="008F5AC7" w:rsidRDefault="000D5B14" w:rsidP="008F5AC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Pr="008F5AC7" w:rsidRDefault="000D5B14" w:rsidP="008F5AC7">
            <w:pPr>
              <w:spacing w:after="0" w:line="25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cs="Arial"/>
                <w:b/>
                <w:bCs/>
                <w:color w:val="000000"/>
                <w:kern w:val="24"/>
                <w:sz w:val="18"/>
                <w:szCs w:val="18"/>
              </w:rPr>
              <w:t>руб./кв. 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41 276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44 104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5B14" w:rsidRDefault="000D5B14">
            <w:pPr>
              <w:pStyle w:val="a5"/>
              <w:spacing w:before="0" w:beforeAutospacing="0" w:after="0" w:afterAutospacing="0" w:line="31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6.85%</w:t>
            </w:r>
          </w:p>
        </w:tc>
      </w:tr>
    </w:tbl>
    <w:p w:rsidR="008F5AC7" w:rsidRDefault="008F5AC7" w:rsidP="008F5AC7">
      <w:pPr>
        <w:pStyle w:val="Tabledate"/>
        <w:jc w:val="left"/>
        <w:rPr>
          <w:rFonts w:asciiTheme="minorHAnsi" w:hAnsiTheme="minorHAnsi"/>
          <w:sz w:val="24"/>
          <w:szCs w:val="24"/>
        </w:rPr>
        <w:sectPr w:rsidR="008F5AC7" w:rsidSect="008F5AC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5EA0" w:rsidRDefault="002E5EA0" w:rsidP="008F5AC7">
      <w:pPr>
        <w:pStyle w:val="Tabledate"/>
        <w:jc w:val="left"/>
        <w:rPr>
          <w:rFonts w:asciiTheme="minorHAnsi" w:hAnsiTheme="minorHAnsi"/>
          <w:sz w:val="24"/>
          <w:szCs w:val="24"/>
        </w:r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Максимальное количество предложений однокомнатных квартир, выставленных на продажу, зафиксировано в диапазоне от 30 до 35 кв. м, от 35 до 40 кв. м общей площади, что занимает 52,7% и 19,1% соответственно от всего объема по указанному типу. </w:t>
      </w: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В сегменте двухкомнатных квартир максимальное предложение объектов приходится на диапазоны от 40 до 50 кв. м и от 50 до 60 кв. м, что занимает 50,6% и 28,7% рынка соответственно по данному сегменту. </w:t>
      </w: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По трехкомнатным квартирам максимальное число предложения объектов находится в диапазоне общей площади от 50 до 65 кв. м и от 65 до 80 кв. м, что занимает 35,4% и 40,3% от всего объема по данному типу квартир соответственно.  </w:t>
      </w:r>
    </w:p>
    <w:p w:rsidR="008F5AC7" w:rsidRPr="008F5AC7" w:rsidRDefault="008F5AC7" w:rsidP="008F5AC7">
      <w:pPr>
        <w:pStyle w:val="Tabledate"/>
        <w:jc w:val="left"/>
        <w:rPr>
          <w:rFonts w:asciiTheme="minorHAnsi" w:hAnsiTheme="minorHAnsi"/>
          <w:sz w:val="24"/>
          <w:szCs w:val="24"/>
        </w:rPr>
      </w:pPr>
    </w:p>
    <w:p w:rsidR="008F5AC7" w:rsidRPr="008F5AC7" w:rsidRDefault="008F5AC7" w:rsidP="00355052">
      <w:pPr>
        <w:pStyle w:val="Tabledate"/>
        <w:jc w:val="left"/>
        <w:rPr>
          <w:rFonts w:asciiTheme="minorHAnsi" w:hAnsiTheme="minorHAnsi"/>
        </w:rPr>
      </w:pPr>
      <w:r w:rsidRPr="008F5AC7">
        <w:rPr>
          <w:rFonts w:asciiTheme="minorHAnsi" w:hAnsiTheme="minorHAnsi"/>
          <w:i/>
          <w:iCs/>
        </w:rPr>
        <w:t>Диапазоны площади, кв. м</w:t>
      </w: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  <w:sectPr w:rsidR="00355052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F5AC7" w:rsidRPr="008F5AC7" w:rsidRDefault="008F5AC7" w:rsidP="00355052">
      <w:pPr>
        <w:pStyle w:val="Tabledate"/>
        <w:jc w:val="left"/>
        <w:rPr>
          <w:rFonts w:asciiTheme="minorHAnsi" w:hAnsiTheme="minorHAnsi"/>
        </w:rPr>
      </w:pPr>
      <w:r w:rsidRPr="008F5AC7">
        <w:rPr>
          <w:rFonts w:asciiTheme="minorHAnsi" w:hAnsiTheme="minorHAnsi"/>
          <w:i/>
          <w:iCs/>
        </w:rPr>
        <w:lastRenderedPageBreak/>
        <w:t>Однокомнатные квартиры</w:t>
      </w:r>
    </w:p>
    <w:p w:rsidR="008F5AC7" w:rsidRPr="008F5AC7" w:rsidRDefault="008F5AC7" w:rsidP="00355052">
      <w:pPr>
        <w:pStyle w:val="Tabledate"/>
        <w:jc w:val="left"/>
        <w:rPr>
          <w:rFonts w:asciiTheme="minorHAnsi" w:hAnsiTheme="minorHAnsi"/>
        </w:rPr>
      </w:pPr>
      <w:r w:rsidRPr="008F5AC7">
        <w:rPr>
          <w:rFonts w:asciiTheme="minorHAnsi" w:hAnsiTheme="minorHAnsi"/>
          <w:i/>
          <w:iCs/>
        </w:rPr>
        <w:lastRenderedPageBreak/>
        <w:t>Двухкомнатные квартиры</w:t>
      </w: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355052" w:rsidSect="0035505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F5AC7" w:rsidRDefault="00B1231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B12312">
        <w:rPr>
          <w:rFonts w:asciiTheme="minorHAnsi" w:hAnsiTheme="minorHAnsi" w:cs="Times New Roman"/>
          <w:noProof/>
          <w:sz w:val="22"/>
          <w:szCs w:val="22"/>
        </w:rPr>
        <w:lastRenderedPageBreak/>
        <w:drawing>
          <wp:inline distT="0" distB="0" distL="0" distR="0">
            <wp:extent cx="3228975" cy="1727200"/>
            <wp:effectExtent l="19050" t="0" r="9525" b="6350"/>
            <wp:docPr id="1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B12312">
        <w:rPr>
          <w:rFonts w:asciiTheme="minorHAnsi" w:hAnsiTheme="minorHAnsi" w:cs="Times New Roman"/>
          <w:noProof/>
          <w:sz w:val="22"/>
          <w:szCs w:val="22"/>
        </w:rPr>
        <w:drawing>
          <wp:inline distT="0" distB="0" distL="0" distR="0">
            <wp:extent cx="3211830" cy="1793875"/>
            <wp:effectExtent l="19050" t="0" r="26670" b="0"/>
            <wp:docPr id="17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355052" w:rsidRDefault="00355052" w:rsidP="00355052">
      <w:pPr>
        <w:pStyle w:val="Tabledate"/>
        <w:rPr>
          <w:rFonts w:asciiTheme="minorHAnsi" w:hAnsiTheme="minorHAnsi"/>
          <w:i/>
          <w:iCs/>
        </w:rPr>
        <w:sectPr w:rsidR="00355052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  <w:r w:rsidRPr="00355052">
        <w:rPr>
          <w:rFonts w:asciiTheme="minorHAnsi" w:hAnsiTheme="minorHAnsi"/>
          <w:i/>
          <w:iCs/>
        </w:rPr>
        <w:lastRenderedPageBreak/>
        <w:t>Трехкомнатные квартиры</w:t>
      </w: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</w:rPr>
      </w:pPr>
      <w:r w:rsidRPr="00355052">
        <w:rPr>
          <w:rFonts w:asciiTheme="minorHAnsi" w:hAnsiTheme="minorHAnsi"/>
          <w:i/>
          <w:iCs/>
        </w:rPr>
        <w:lastRenderedPageBreak/>
        <w:t>Многокомнатные квартиры</w:t>
      </w:r>
    </w:p>
    <w:p w:rsidR="00355052" w:rsidRDefault="00355052" w:rsidP="00355052">
      <w:pPr>
        <w:pStyle w:val="Tabledate"/>
        <w:rPr>
          <w:rFonts w:asciiTheme="minorHAnsi" w:hAnsiTheme="minorHAnsi"/>
        </w:rPr>
        <w:sectPr w:rsidR="00355052" w:rsidSect="0035505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55052" w:rsidRPr="00355052" w:rsidRDefault="00B12312" w:rsidP="00355052">
      <w:pPr>
        <w:pStyle w:val="Tabledate"/>
        <w:rPr>
          <w:rFonts w:asciiTheme="minorHAnsi" w:hAnsiTheme="minorHAnsi"/>
        </w:rPr>
      </w:pPr>
      <w:r w:rsidRPr="00B12312">
        <w:rPr>
          <w:rFonts w:asciiTheme="minorHAnsi" w:hAnsiTheme="minorHAnsi"/>
          <w:noProof/>
        </w:rPr>
        <w:lastRenderedPageBreak/>
        <w:drawing>
          <wp:inline distT="0" distB="0" distL="0" distR="0">
            <wp:extent cx="3209925" cy="1704975"/>
            <wp:effectExtent l="19050" t="0" r="9525" b="0"/>
            <wp:docPr id="1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B12312">
        <w:rPr>
          <w:rFonts w:asciiTheme="minorHAnsi" w:hAnsiTheme="minorHAnsi"/>
          <w:noProof/>
        </w:rPr>
        <w:drawing>
          <wp:inline distT="0" distB="0" distL="0" distR="0">
            <wp:extent cx="3202305" cy="1743075"/>
            <wp:effectExtent l="19050" t="0" r="17145" b="0"/>
            <wp:docPr id="21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  <w:sz w:val="24"/>
          <w:szCs w:val="24"/>
          <w:u w:val="single"/>
        </w:rPr>
      </w:pPr>
      <w:r w:rsidRPr="00355052">
        <w:rPr>
          <w:rFonts w:asciiTheme="minorHAnsi" w:hAnsiTheme="minorHAnsi"/>
          <w:sz w:val="24"/>
          <w:szCs w:val="24"/>
          <w:u w:val="single"/>
        </w:rPr>
        <w:t xml:space="preserve">Рынок квартир в строящихся домах </w:t>
      </w: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  <w:sz w:val="24"/>
          <w:szCs w:val="24"/>
        </w:r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За </w:t>
      </w:r>
      <w:r w:rsidRPr="000F520C">
        <w:rPr>
          <w:rFonts w:asciiTheme="minorHAnsi" w:hAnsiTheme="minorHAnsi"/>
          <w:sz w:val="24"/>
          <w:szCs w:val="24"/>
          <w:lang w:val="en-US"/>
        </w:rPr>
        <w:t>II</w:t>
      </w:r>
      <w:r w:rsidRPr="000F520C">
        <w:rPr>
          <w:rFonts w:asciiTheme="minorHAnsi" w:hAnsiTheme="minorHAnsi"/>
          <w:sz w:val="24"/>
          <w:szCs w:val="24"/>
        </w:rPr>
        <w:t xml:space="preserve"> полугодие изменение средней цены предложения на первичном рынке квартир в рублевом эквиваленте составило 5,1%, это 1,9 тыс. руб. с квадратного метра. Показатель средней цены предложения в декабре 2013 года составил 39,9 тыс. руб. за кв. м.</w:t>
      </w:r>
    </w:p>
    <w:p w:rsidR="008F5AC7" w:rsidRDefault="008F5AC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355052" w:rsidRDefault="00355052" w:rsidP="00355052">
      <w:pPr>
        <w:pStyle w:val="Tabledate"/>
        <w:rPr>
          <w:rFonts w:asciiTheme="minorHAnsi" w:hAnsiTheme="minorHAnsi"/>
          <w:i/>
          <w:iCs/>
        </w:rPr>
        <w:sectPr w:rsidR="00355052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  <w:r w:rsidRPr="00355052">
        <w:rPr>
          <w:rFonts w:asciiTheme="minorHAnsi" w:hAnsiTheme="minorHAnsi"/>
          <w:i/>
          <w:iCs/>
        </w:rPr>
        <w:lastRenderedPageBreak/>
        <w:t>Цена, руб./кв. м</w:t>
      </w: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</w:rPr>
      </w:pPr>
      <w:r w:rsidRPr="00355052">
        <w:rPr>
          <w:rFonts w:asciiTheme="minorHAnsi" w:hAnsiTheme="minorHAnsi"/>
          <w:i/>
          <w:iCs/>
        </w:rPr>
        <w:lastRenderedPageBreak/>
        <w:t>Изменение цены, % к предыдущему месяцу</w:t>
      </w:r>
    </w:p>
    <w:p w:rsidR="00355052" w:rsidRDefault="00355052" w:rsidP="00355052">
      <w:pPr>
        <w:pStyle w:val="Tabledate"/>
        <w:rPr>
          <w:rFonts w:asciiTheme="minorHAnsi" w:hAnsiTheme="minorHAnsi"/>
        </w:rPr>
        <w:sectPr w:rsidR="00355052" w:rsidSect="0035505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55052" w:rsidRPr="00355052" w:rsidRDefault="00355052" w:rsidP="00355052">
      <w:pPr>
        <w:pStyle w:val="Tabledate"/>
        <w:rPr>
          <w:rFonts w:asciiTheme="minorHAnsi" w:hAnsiTheme="minorHAnsi"/>
        </w:rPr>
      </w:pPr>
    </w:p>
    <w:p w:rsidR="00355052" w:rsidRDefault="00B1231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B12312">
        <w:rPr>
          <w:rFonts w:asciiTheme="minorHAnsi" w:hAnsiTheme="minorHAnsi" w:cs="Times New Roman"/>
          <w:noProof/>
          <w:sz w:val="22"/>
          <w:szCs w:val="22"/>
        </w:rPr>
        <w:drawing>
          <wp:inline distT="0" distB="0" distL="0" distR="0">
            <wp:extent cx="3097213" cy="1800225"/>
            <wp:effectExtent l="19050" t="0" r="26987" b="0"/>
            <wp:docPr id="22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B12312">
        <w:rPr>
          <w:rFonts w:asciiTheme="minorHAnsi" w:hAnsiTheme="minorHAnsi" w:cs="Times New Roman"/>
          <w:noProof/>
          <w:sz w:val="22"/>
          <w:szCs w:val="22"/>
        </w:rPr>
        <w:drawing>
          <wp:inline distT="0" distB="0" distL="0" distR="0">
            <wp:extent cx="3240087" cy="1800225"/>
            <wp:effectExtent l="19050" t="0" r="17463" b="0"/>
            <wp:docPr id="23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В декабре доля дешевых объектов, цена квадратного метра которых меньше 30 тыс. руб., составляет 2,1% от общего объема предложения квартир. Большую долю рынка занимает диапазон цены от 30 до 45 тыс. руб. за кв. м, это 80,5% от объема выставленных на продажу квартир. Цена квадратного метра от 45 до 50 тыс. руб. составляет 11,5%. Доля дорогих объектов, цена которых превышает 50 тыс. руб. за кв. м, составляет 5,9% от всего предложения. </w:t>
      </w: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  <w:r w:rsidRPr="00355052">
        <w:rPr>
          <w:rFonts w:asciiTheme="minorHAnsi" w:hAnsiTheme="minorHAnsi"/>
          <w:i/>
          <w:iCs/>
        </w:rPr>
        <w:t>Распределение цены (тыс. руб./кв. м), % от общего объема</w:t>
      </w:r>
    </w:p>
    <w:p w:rsidR="002E5EA0" w:rsidRDefault="002E5EA0" w:rsidP="00355052">
      <w:pPr>
        <w:pStyle w:val="Tabledate"/>
        <w:jc w:val="left"/>
        <w:rPr>
          <w:rFonts w:asciiTheme="minorHAnsi" w:hAnsiTheme="minorHAnsi"/>
          <w:i/>
          <w:iCs/>
        </w:rPr>
        <w:sectPr w:rsidR="002E5EA0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5EA0" w:rsidRDefault="00B12312" w:rsidP="00355052">
      <w:pPr>
        <w:pStyle w:val="Tabledate"/>
        <w:jc w:val="left"/>
        <w:rPr>
          <w:rFonts w:asciiTheme="minorHAnsi" w:hAnsiTheme="minorHAnsi"/>
          <w:i/>
          <w:iCs/>
        </w:rPr>
      </w:pPr>
      <w:r w:rsidRPr="00B12312">
        <w:rPr>
          <w:rFonts w:asciiTheme="minorHAnsi" w:hAnsiTheme="minorHAnsi"/>
          <w:i/>
          <w:iCs/>
          <w:noProof/>
        </w:rPr>
        <w:lastRenderedPageBreak/>
        <w:drawing>
          <wp:inline distT="0" distB="0" distL="0" distR="0">
            <wp:extent cx="3098165" cy="1831581"/>
            <wp:effectExtent l="19050" t="0" r="26035" b="0"/>
            <wp:docPr id="24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tbl>
      <w:tblPr>
        <w:tblW w:w="4420" w:type="dxa"/>
        <w:tblCellMar>
          <w:left w:w="0" w:type="dxa"/>
          <w:right w:w="0" w:type="dxa"/>
        </w:tblCellMar>
        <w:tblLook w:val="04A0"/>
      </w:tblPr>
      <w:tblGrid>
        <w:gridCol w:w="1280"/>
        <w:gridCol w:w="1460"/>
        <w:gridCol w:w="1680"/>
      </w:tblGrid>
      <w:tr w:rsidR="00B12312" w:rsidRPr="002E5EA0" w:rsidTr="002E5EA0">
        <w:trPr>
          <w:trHeight w:val="496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lastRenderedPageBreak/>
              <w:t>тыс.  руб./</w:t>
            </w:r>
          </w:p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кв. м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Июль 2013 г.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Декабрь 2013 г.</w:t>
            </w:r>
          </w:p>
        </w:tc>
      </w:tr>
      <w:tr w:rsidR="00B12312" w:rsidRPr="002E5EA0" w:rsidTr="002E5EA0">
        <w:trPr>
          <w:trHeight w:val="30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&lt;30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0.00%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2.07%</w:t>
            </w:r>
          </w:p>
        </w:tc>
      </w:tr>
      <w:tr w:rsidR="00B12312" w:rsidRPr="002E5EA0" w:rsidTr="002E5EA0">
        <w:trPr>
          <w:trHeight w:val="30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30-35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5.56%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16.86%</w:t>
            </w:r>
          </w:p>
        </w:tc>
      </w:tr>
      <w:tr w:rsidR="00B12312" w:rsidRPr="002E5EA0" w:rsidTr="002E5EA0">
        <w:trPr>
          <w:trHeight w:val="30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35-40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64.72%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33.43%</w:t>
            </w:r>
          </w:p>
        </w:tc>
      </w:tr>
      <w:tr w:rsidR="00B12312" w:rsidRPr="002E5EA0" w:rsidTr="002E5EA0">
        <w:trPr>
          <w:trHeight w:val="30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40-45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11.11%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30.18%</w:t>
            </w:r>
          </w:p>
        </w:tc>
      </w:tr>
      <w:tr w:rsidR="00B12312" w:rsidRPr="002E5EA0" w:rsidTr="002E5EA0">
        <w:trPr>
          <w:trHeight w:val="30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45-50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10.74%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11.54%</w:t>
            </w:r>
          </w:p>
        </w:tc>
      </w:tr>
      <w:tr w:rsidR="00B12312" w:rsidRPr="002E5EA0" w:rsidTr="002E5EA0">
        <w:trPr>
          <w:trHeight w:val="30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50-55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6.68%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5.62%</w:t>
            </w:r>
          </w:p>
        </w:tc>
      </w:tr>
      <w:tr w:rsidR="00B12312" w:rsidRPr="002E5EA0" w:rsidTr="002E5EA0">
        <w:trPr>
          <w:trHeight w:val="30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&gt;55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1.19%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20"/>
                <w:szCs w:val="20"/>
              </w:rPr>
              <w:t>0.30%</w:t>
            </w:r>
          </w:p>
        </w:tc>
      </w:tr>
    </w:tbl>
    <w:p w:rsidR="002E5EA0" w:rsidRDefault="002E5EA0" w:rsidP="00355052">
      <w:pPr>
        <w:pStyle w:val="Tabledate"/>
        <w:jc w:val="left"/>
        <w:rPr>
          <w:rFonts w:asciiTheme="minorHAnsi" w:hAnsiTheme="minorHAnsi"/>
          <w:i/>
          <w:iCs/>
        </w:rPr>
        <w:sectPr w:rsidR="002E5EA0" w:rsidSect="002E5EA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  <w:iCs/>
          <w:sz w:val="24"/>
          <w:szCs w:val="24"/>
        </w:rPr>
        <w:sectPr w:rsidR="00355052" w:rsidSect="0035505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  <w:iCs/>
          <w:sz w:val="24"/>
          <w:szCs w:val="24"/>
        </w:r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iCs/>
          <w:sz w:val="24"/>
          <w:szCs w:val="24"/>
        </w:rPr>
      </w:pPr>
      <w:r w:rsidRPr="000F520C">
        <w:rPr>
          <w:rFonts w:asciiTheme="minorHAnsi" w:hAnsiTheme="minorHAnsi"/>
          <w:iCs/>
          <w:sz w:val="24"/>
          <w:szCs w:val="24"/>
        </w:rPr>
        <w:t xml:space="preserve">В структуре предложения на вторичном рынке квартир преобладают в основном квартиры, имеющие не более трех комнат. Доля однокомнатных квартир в декабре составляет 36,8% рынка, двухкомнатных – 35,6%. Трехкомнатные квартиры занимают долю в размере 22,8%. </w:t>
      </w:r>
      <w:proofErr w:type="gramStart"/>
      <w:r w:rsidRPr="000F520C">
        <w:rPr>
          <w:rFonts w:asciiTheme="minorHAnsi" w:hAnsiTheme="minorHAnsi"/>
          <w:iCs/>
          <w:sz w:val="24"/>
          <w:szCs w:val="24"/>
        </w:rPr>
        <w:t>На</w:t>
      </w:r>
      <w:proofErr w:type="gramEnd"/>
      <w:r w:rsidRPr="000F520C">
        <w:rPr>
          <w:rFonts w:asciiTheme="minorHAnsi" w:hAnsiTheme="minorHAnsi"/>
          <w:iCs/>
          <w:sz w:val="24"/>
          <w:szCs w:val="24"/>
        </w:rPr>
        <w:t xml:space="preserve"> многокомнатные (от четырех комнат) в среднем приходится 4,8% от общего объема. </w:t>
      </w: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  <w:r w:rsidRPr="00355052">
        <w:rPr>
          <w:rFonts w:asciiTheme="minorHAnsi" w:hAnsiTheme="minorHAnsi"/>
          <w:i/>
          <w:iCs/>
        </w:rPr>
        <w:t>Структура по типам квартир, % от общего объема</w:t>
      </w:r>
    </w:p>
    <w:p w:rsidR="00355052" w:rsidRDefault="00B12312" w:rsidP="00355052">
      <w:pPr>
        <w:pStyle w:val="Tabledate"/>
        <w:jc w:val="left"/>
        <w:rPr>
          <w:rFonts w:asciiTheme="minorHAnsi" w:hAnsiTheme="minorHAnsi"/>
          <w:i/>
          <w:iCs/>
        </w:rPr>
      </w:pPr>
      <w:r w:rsidRPr="00B12312">
        <w:rPr>
          <w:rFonts w:asciiTheme="minorHAnsi" w:hAnsiTheme="minorHAnsi"/>
          <w:i/>
          <w:iCs/>
          <w:noProof/>
        </w:rPr>
        <w:lastRenderedPageBreak/>
        <w:drawing>
          <wp:inline distT="0" distB="0" distL="0" distR="0">
            <wp:extent cx="2878138" cy="1727200"/>
            <wp:effectExtent l="19050" t="0" r="17462" b="6350"/>
            <wp:docPr id="25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Pr="00B12312">
        <w:rPr>
          <w:rFonts w:asciiTheme="minorHAnsi" w:hAnsiTheme="minorHAnsi"/>
          <w:i/>
          <w:iCs/>
          <w:noProof/>
        </w:rPr>
        <w:drawing>
          <wp:inline distT="0" distB="0" distL="0" distR="0">
            <wp:extent cx="2952750" cy="1727200"/>
            <wp:effectExtent l="19050" t="0" r="19050" b="6350"/>
            <wp:docPr id="26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12312" w:rsidRDefault="00B12312" w:rsidP="00B12312">
      <w:pPr>
        <w:pStyle w:val="Tabledate"/>
        <w:rPr>
          <w:rFonts w:asciiTheme="minorHAnsi" w:hAnsiTheme="minorHAnsi"/>
          <w:iCs/>
          <w:sz w:val="24"/>
          <w:szCs w:val="24"/>
        </w:r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iCs/>
          <w:sz w:val="24"/>
          <w:szCs w:val="24"/>
        </w:rPr>
      </w:pPr>
      <w:r w:rsidRPr="000F520C">
        <w:rPr>
          <w:rFonts w:asciiTheme="minorHAnsi" w:hAnsiTheme="minorHAnsi"/>
          <w:iCs/>
          <w:sz w:val="24"/>
          <w:szCs w:val="24"/>
        </w:rPr>
        <w:t xml:space="preserve">В среднем по рынку новостроек изменение средней цены предложения на однокомнатные квартиры составило 3,1%. Цена квадратного метра двухкомнатных квартир повысилась на 8,5%, изменение стоимости трехкомнатных составило 10,7%. Средние цены предложения на конец декабря 2013 года составили на однокомнатные квартиры 1,9 </w:t>
      </w:r>
      <w:proofErr w:type="spellStart"/>
      <w:proofErr w:type="gramStart"/>
      <w:r w:rsidRPr="000F520C">
        <w:rPr>
          <w:rFonts w:asciiTheme="minorHAnsi" w:hAnsiTheme="minorHAnsi"/>
          <w:iCs/>
          <w:sz w:val="24"/>
          <w:szCs w:val="24"/>
        </w:rPr>
        <w:t>млн</w:t>
      </w:r>
      <w:proofErr w:type="spellEnd"/>
      <w:proofErr w:type="gramEnd"/>
      <w:r w:rsidRPr="000F520C">
        <w:rPr>
          <w:rFonts w:asciiTheme="minorHAnsi" w:hAnsiTheme="minorHAnsi"/>
          <w:iCs/>
          <w:sz w:val="24"/>
          <w:szCs w:val="24"/>
        </w:rPr>
        <w:t xml:space="preserve"> руб., на двухкомнатные – 2,9 </w:t>
      </w:r>
      <w:proofErr w:type="spellStart"/>
      <w:r w:rsidRPr="000F520C">
        <w:rPr>
          <w:rFonts w:asciiTheme="minorHAnsi" w:hAnsiTheme="minorHAnsi"/>
          <w:iCs/>
          <w:sz w:val="24"/>
          <w:szCs w:val="24"/>
        </w:rPr>
        <w:t>млн</w:t>
      </w:r>
      <w:proofErr w:type="spellEnd"/>
      <w:r w:rsidRPr="000F520C">
        <w:rPr>
          <w:rFonts w:asciiTheme="minorHAnsi" w:hAnsiTheme="minorHAnsi"/>
          <w:iCs/>
          <w:sz w:val="24"/>
          <w:szCs w:val="24"/>
        </w:rPr>
        <w:t xml:space="preserve"> руб., на трехкомнатные – 4,3 </w:t>
      </w:r>
      <w:proofErr w:type="spellStart"/>
      <w:r w:rsidRPr="000F520C">
        <w:rPr>
          <w:rFonts w:asciiTheme="minorHAnsi" w:hAnsiTheme="minorHAnsi"/>
          <w:iCs/>
          <w:sz w:val="24"/>
          <w:szCs w:val="24"/>
        </w:rPr>
        <w:t>млн</w:t>
      </w:r>
      <w:proofErr w:type="spellEnd"/>
      <w:r w:rsidRPr="000F520C">
        <w:rPr>
          <w:rFonts w:asciiTheme="minorHAnsi" w:hAnsiTheme="minorHAnsi"/>
          <w:iCs/>
          <w:sz w:val="24"/>
          <w:szCs w:val="24"/>
        </w:rPr>
        <w:t xml:space="preserve"> руб.</w:t>
      </w: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  <w:r w:rsidRPr="00355052">
        <w:rPr>
          <w:rFonts w:asciiTheme="minorHAnsi" w:hAnsiTheme="minorHAnsi"/>
          <w:i/>
          <w:iCs/>
        </w:rPr>
        <w:t>Цена по типу квартир, руб./кв. м</w:t>
      </w: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</w:rPr>
        <w:sectPr w:rsidR="00355052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5052" w:rsidRPr="00355052" w:rsidRDefault="00B12312" w:rsidP="00355052">
      <w:pPr>
        <w:pStyle w:val="Tabledate"/>
        <w:jc w:val="left"/>
        <w:rPr>
          <w:rFonts w:asciiTheme="minorHAnsi" w:hAnsiTheme="minorHAnsi"/>
        </w:rPr>
      </w:pPr>
      <w:r w:rsidRPr="00B12312">
        <w:rPr>
          <w:rFonts w:asciiTheme="minorHAnsi" w:hAnsiTheme="minorHAnsi"/>
          <w:noProof/>
        </w:rPr>
        <w:lastRenderedPageBreak/>
        <w:drawing>
          <wp:inline distT="0" distB="0" distL="0" distR="0">
            <wp:extent cx="3097213" cy="1728788"/>
            <wp:effectExtent l="19050" t="0" r="26987" b="4762"/>
            <wp:docPr id="34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tbl>
      <w:tblPr>
        <w:tblW w:w="4835" w:type="dxa"/>
        <w:tblCellMar>
          <w:left w:w="0" w:type="dxa"/>
          <w:right w:w="0" w:type="dxa"/>
        </w:tblCellMar>
        <w:tblLook w:val="04A0"/>
      </w:tblPr>
      <w:tblGrid>
        <w:gridCol w:w="580"/>
        <w:gridCol w:w="1000"/>
        <w:gridCol w:w="1020"/>
        <w:gridCol w:w="1140"/>
        <w:gridCol w:w="1095"/>
      </w:tblGrid>
      <w:tr w:rsidR="00B12312" w:rsidRPr="00355052" w:rsidTr="00B12312">
        <w:trPr>
          <w:trHeight w:val="412"/>
        </w:trPr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Цена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 xml:space="preserve">Июль </w:t>
            </w:r>
          </w:p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2013 г.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 xml:space="preserve">Декабрь </w:t>
            </w:r>
          </w:p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2013 г.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CDE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 xml:space="preserve">Изменение </w:t>
            </w:r>
          </w:p>
          <w:p w:rsidR="00B12312" w:rsidRDefault="00B12312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за полугодие</w:t>
            </w:r>
          </w:p>
        </w:tc>
      </w:tr>
      <w:tr w:rsidR="00B12312" w:rsidRPr="00355052" w:rsidTr="00B12312">
        <w:trPr>
          <w:trHeight w:val="251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1ккв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тыс.  руб.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1 820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1 915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 </w:t>
            </w:r>
          </w:p>
        </w:tc>
      </w:tr>
      <w:tr w:rsidR="00B12312" w:rsidRPr="00355052" w:rsidTr="00B1231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312" w:rsidRPr="00355052" w:rsidRDefault="00B12312" w:rsidP="0035505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Pr="00355052" w:rsidRDefault="00B12312" w:rsidP="00355052">
            <w:pPr>
              <w:spacing w:after="0" w:line="25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cs="Arial"/>
                <w:b/>
                <w:bCs/>
                <w:color w:val="000000"/>
                <w:kern w:val="24"/>
                <w:sz w:val="18"/>
                <w:szCs w:val="18"/>
              </w:rPr>
              <w:t>руб./кв. 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37 919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39 103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3.12%</w:t>
            </w:r>
          </w:p>
        </w:tc>
      </w:tr>
      <w:tr w:rsidR="00B12312" w:rsidRPr="00355052" w:rsidTr="00B12312">
        <w:trPr>
          <w:trHeight w:val="251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2ккв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тыс.  руб.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2 513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2 871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 </w:t>
            </w:r>
          </w:p>
        </w:tc>
      </w:tr>
      <w:tr w:rsidR="00B12312" w:rsidRPr="00355052" w:rsidTr="00B1231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312" w:rsidRPr="00355052" w:rsidRDefault="00B12312" w:rsidP="0035505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Pr="00355052" w:rsidRDefault="00B12312" w:rsidP="00355052">
            <w:pPr>
              <w:spacing w:after="0" w:line="25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cs="Arial"/>
                <w:b/>
                <w:bCs/>
                <w:color w:val="000000"/>
                <w:kern w:val="24"/>
                <w:sz w:val="18"/>
                <w:szCs w:val="18"/>
              </w:rPr>
              <w:t>руб./кв. 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37 194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40 363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8.52%</w:t>
            </w:r>
          </w:p>
        </w:tc>
      </w:tr>
      <w:tr w:rsidR="00B12312" w:rsidRPr="00355052" w:rsidTr="00B12312">
        <w:trPr>
          <w:trHeight w:val="251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3ккв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24"/>
                <w:sz w:val="18"/>
                <w:szCs w:val="18"/>
              </w:rPr>
              <w:t>тыс.  руб.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3 545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4 290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 </w:t>
            </w:r>
          </w:p>
        </w:tc>
      </w:tr>
      <w:tr w:rsidR="00B12312" w:rsidRPr="00355052" w:rsidTr="00B12312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312" w:rsidRPr="00355052" w:rsidRDefault="00B12312" w:rsidP="0035505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Pr="00355052" w:rsidRDefault="00B12312" w:rsidP="00355052">
            <w:pPr>
              <w:spacing w:after="0" w:line="25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cs="Arial"/>
                <w:b/>
                <w:bCs/>
                <w:color w:val="000000"/>
                <w:kern w:val="24"/>
                <w:sz w:val="18"/>
                <w:szCs w:val="18"/>
              </w:rPr>
              <w:t>руб./кв. 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36 266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40 136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12312" w:rsidRDefault="00B12312">
            <w:pPr>
              <w:pStyle w:val="a5"/>
              <w:spacing w:before="0" w:beforeAutospacing="0" w:after="0" w:afterAutospacing="0" w:line="308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10.67%</w:t>
            </w:r>
          </w:p>
        </w:tc>
      </w:tr>
    </w:tbl>
    <w:p w:rsidR="00355052" w:rsidRDefault="00355052" w:rsidP="00355052">
      <w:pPr>
        <w:pStyle w:val="Tabledate"/>
        <w:jc w:val="left"/>
        <w:rPr>
          <w:rFonts w:asciiTheme="minorHAnsi" w:hAnsiTheme="minorHAnsi"/>
        </w:rPr>
        <w:sectPr w:rsidR="00355052" w:rsidSect="0035505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</w:rPr>
      </w:pP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Максимальное количество предложений однокомнатных квартир, выставленных на продажу, зафиксировано в диапазоне от 35 до 40 кв. м и от 40 до 45 кв. м общей площади, что занимает 21,5% и 24,4% соответственно от всего объема по указанному типу. </w:t>
      </w: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В сегменте двухкомнатных квартир максимальное предложение объектов приходится на диапазоны от 50 до 60 кв. м, что занимает 42% рынка соответственно по данному сегменту. </w:t>
      </w:r>
    </w:p>
    <w:p w:rsidR="000F520C" w:rsidRPr="000F520C" w:rsidRDefault="000F520C" w:rsidP="000F520C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0F520C">
        <w:rPr>
          <w:rFonts w:asciiTheme="minorHAnsi" w:hAnsiTheme="minorHAnsi"/>
          <w:sz w:val="24"/>
          <w:szCs w:val="24"/>
        </w:rPr>
        <w:t xml:space="preserve">По трехкомнатным квартирам максимальное число предложения объектов находится в диапазоне общей площади от 90 до 105 кв. м и от 105 до 120 кв. м, что занимает 23,7% и 36,8% от всего объема по данному типу квартир соответственно.  </w:t>
      </w:r>
    </w:p>
    <w:p w:rsidR="008F5AC7" w:rsidRDefault="008F5AC7" w:rsidP="000F520C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</w:rPr>
      </w:pPr>
      <w:r w:rsidRPr="00355052">
        <w:rPr>
          <w:rFonts w:asciiTheme="minorHAnsi" w:hAnsiTheme="minorHAnsi"/>
          <w:i/>
          <w:iCs/>
        </w:rPr>
        <w:t>Диапазоны площади, кв. м</w:t>
      </w: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</w:pPr>
    </w:p>
    <w:p w:rsidR="00355052" w:rsidRDefault="00355052" w:rsidP="00355052">
      <w:pPr>
        <w:pStyle w:val="Tabledate"/>
        <w:jc w:val="left"/>
        <w:rPr>
          <w:rFonts w:asciiTheme="minorHAnsi" w:hAnsiTheme="minorHAnsi"/>
          <w:i/>
          <w:iCs/>
        </w:rPr>
        <w:sectPr w:rsidR="00355052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</w:rPr>
      </w:pPr>
      <w:r w:rsidRPr="00355052">
        <w:rPr>
          <w:rFonts w:asciiTheme="minorHAnsi" w:hAnsiTheme="minorHAnsi"/>
          <w:i/>
          <w:iCs/>
        </w:rPr>
        <w:lastRenderedPageBreak/>
        <w:t>Однокомнатные квартиры</w:t>
      </w: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</w:rPr>
      </w:pPr>
      <w:r w:rsidRPr="00355052">
        <w:rPr>
          <w:rFonts w:asciiTheme="minorHAnsi" w:hAnsiTheme="minorHAnsi"/>
          <w:i/>
          <w:iCs/>
        </w:rPr>
        <w:lastRenderedPageBreak/>
        <w:t>Двухкомнатные квартиры</w:t>
      </w: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355052" w:rsidSect="0035505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55052" w:rsidRDefault="00B1231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B12312">
        <w:rPr>
          <w:rFonts w:asciiTheme="minorHAnsi" w:hAnsiTheme="minorHAnsi" w:cs="Times New Roman"/>
          <w:noProof/>
          <w:sz w:val="22"/>
          <w:szCs w:val="22"/>
        </w:rPr>
        <w:lastRenderedPageBreak/>
        <w:drawing>
          <wp:inline distT="0" distB="0" distL="0" distR="0">
            <wp:extent cx="3219450" cy="1685925"/>
            <wp:effectExtent l="19050" t="0" r="19050" b="0"/>
            <wp:docPr id="35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Pr="00B12312">
        <w:rPr>
          <w:rFonts w:asciiTheme="minorHAnsi" w:hAnsiTheme="minorHAnsi" w:cs="Times New Roman"/>
          <w:noProof/>
          <w:sz w:val="22"/>
          <w:szCs w:val="22"/>
        </w:rPr>
        <w:drawing>
          <wp:inline distT="0" distB="0" distL="0" distR="0">
            <wp:extent cx="3143250" cy="1724025"/>
            <wp:effectExtent l="19050" t="0" r="19050" b="0"/>
            <wp:docPr id="36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355052" w:rsidRDefault="00355052" w:rsidP="00355052">
      <w:pPr>
        <w:pStyle w:val="Tabledate"/>
        <w:rPr>
          <w:rFonts w:asciiTheme="minorHAnsi" w:hAnsiTheme="minorHAnsi"/>
          <w:i/>
          <w:iCs/>
        </w:rPr>
        <w:sectPr w:rsidR="00355052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</w:rPr>
      </w:pPr>
      <w:r w:rsidRPr="00355052">
        <w:rPr>
          <w:rFonts w:asciiTheme="minorHAnsi" w:hAnsiTheme="minorHAnsi"/>
          <w:i/>
          <w:iCs/>
        </w:rPr>
        <w:lastRenderedPageBreak/>
        <w:t>Трехкомнатные квартиры</w:t>
      </w:r>
    </w:p>
    <w:p w:rsidR="00355052" w:rsidRPr="00355052" w:rsidRDefault="00355052" w:rsidP="00355052">
      <w:pPr>
        <w:pStyle w:val="Tabledate"/>
        <w:jc w:val="left"/>
        <w:rPr>
          <w:rFonts w:asciiTheme="minorHAnsi" w:hAnsiTheme="minorHAnsi"/>
        </w:rPr>
      </w:pPr>
      <w:r w:rsidRPr="00355052">
        <w:rPr>
          <w:rFonts w:asciiTheme="minorHAnsi" w:hAnsiTheme="minorHAnsi"/>
          <w:i/>
          <w:iCs/>
        </w:rPr>
        <w:lastRenderedPageBreak/>
        <w:t>Многокомнатные квартиры</w:t>
      </w: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355052" w:rsidSect="0035505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55052" w:rsidRDefault="00B1231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B12312">
        <w:rPr>
          <w:rFonts w:asciiTheme="minorHAnsi" w:hAnsiTheme="minorHAnsi" w:cs="Times New Roman"/>
          <w:noProof/>
          <w:sz w:val="22"/>
          <w:szCs w:val="22"/>
        </w:rPr>
        <w:lastRenderedPageBreak/>
        <w:drawing>
          <wp:inline distT="0" distB="0" distL="0" distR="0">
            <wp:extent cx="3219450" cy="1743075"/>
            <wp:effectExtent l="19050" t="0" r="19050" b="0"/>
            <wp:docPr id="37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Pr="00B12312">
        <w:rPr>
          <w:rFonts w:asciiTheme="minorHAnsi" w:hAnsiTheme="minorHAnsi" w:cs="Times New Roman"/>
          <w:noProof/>
          <w:sz w:val="22"/>
          <w:szCs w:val="22"/>
        </w:rPr>
        <w:drawing>
          <wp:inline distT="0" distB="0" distL="0" distR="0">
            <wp:extent cx="3238500" cy="1771650"/>
            <wp:effectExtent l="19050" t="0" r="19050" b="0"/>
            <wp:docPr id="38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355052" w:rsidRDefault="00355052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2F2DCE" w:rsidRPr="00C754C5" w:rsidRDefault="002F2DCE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t>____________________________________________________________________________</w:t>
      </w:r>
    </w:p>
    <w:p w:rsidR="0067716F" w:rsidRPr="00C754C5" w:rsidRDefault="0067716F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67716F" w:rsidRPr="00C754C5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F2DCE" w:rsidRPr="00C754C5" w:rsidRDefault="002F2DCE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bookmarkEnd w:id="0"/>
    <w:p w:rsidR="007D0D26" w:rsidRPr="00C754C5" w:rsidRDefault="007D0D26" w:rsidP="007D0D26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t xml:space="preserve">Отчет выполнен в соответствии с методологией Главного аналитика РГР Г.М. </w:t>
      </w:r>
      <w:proofErr w:type="spellStart"/>
      <w:r w:rsidRPr="00C754C5">
        <w:rPr>
          <w:rFonts w:asciiTheme="minorHAnsi" w:hAnsiTheme="minorHAnsi" w:cs="Times New Roman"/>
          <w:sz w:val="22"/>
          <w:szCs w:val="22"/>
        </w:rPr>
        <w:t>Стерника</w:t>
      </w:r>
      <w:proofErr w:type="spellEnd"/>
    </w:p>
    <w:p w:rsidR="007D0D26" w:rsidRPr="00C754C5" w:rsidRDefault="007D0D26" w:rsidP="007D0D26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7D0D26" w:rsidRPr="00C754C5" w:rsidRDefault="007D0D26" w:rsidP="007D0D26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t xml:space="preserve">Подготовлено:  </w:t>
      </w:r>
    </w:p>
    <w:p w:rsidR="007D0D26" w:rsidRPr="00C754C5" w:rsidRDefault="007D0D26" w:rsidP="007D0D26">
      <w:pPr>
        <w:spacing w:after="0"/>
        <w:rPr>
          <w:rFonts w:asciiTheme="minorHAnsi" w:hAnsiTheme="minorHAnsi"/>
        </w:rPr>
      </w:pPr>
      <w:proofErr w:type="spellStart"/>
      <w:r w:rsidRPr="00C754C5">
        <w:rPr>
          <w:rFonts w:asciiTheme="minorHAnsi" w:hAnsiTheme="minorHAnsi"/>
        </w:rPr>
        <w:t>Бент</w:t>
      </w:r>
      <w:proofErr w:type="spellEnd"/>
      <w:r w:rsidRPr="00C754C5">
        <w:rPr>
          <w:rFonts w:asciiTheme="minorHAnsi" w:hAnsiTheme="minorHAnsi"/>
        </w:rPr>
        <w:t xml:space="preserve"> М.А., САРН, ООО «ГК «Бюллетень Недвижимости»</w:t>
      </w:r>
    </w:p>
    <w:p w:rsidR="007D0D26" w:rsidRPr="00C754C5" w:rsidRDefault="007D0D26" w:rsidP="007D0D26">
      <w:pPr>
        <w:spacing w:after="0"/>
        <w:rPr>
          <w:rFonts w:asciiTheme="minorHAnsi" w:hAnsiTheme="minorHAnsi"/>
          <w:lang w:val="en-US"/>
        </w:rPr>
      </w:pPr>
      <w:r w:rsidRPr="00C754C5">
        <w:rPr>
          <w:rFonts w:asciiTheme="minorHAnsi" w:hAnsiTheme="minorHAnsi"/>
        </w:rPr>
        <w:t>тел</w:t>
      </w:r>
      <w:r w:rsidRPr="00C754C5">
        <w:rPr>
          <w:rFonts w:asciiTheme="minorHAnsi" w:hAnsiTheme="minorHAnsi"/>
          <w:lang w:val="en-US"/>
        </w:rPr>
        <w:t xml:space="preserve">. (812) 329-36-78, e-mail: </w:t>
      </w:r>
      <w:hyperlink r:id="rId24" w:history="1">
        <w:r w:rsidRPr="00C754C5">
          <w:rPr>
            <w:rStyle w:val="a6"/>
            <w:rFonts w:asciiTheme="minorHAnsi" w:hAnsiTheme="minorHAnsi"/>
            <w:lang w:val="en-US"/>
          </w:rPr>
          <w:t>analitika@bn.ru</w:t>
        </w:r>
      </w:hyperlink>
      <w:r w:rsidRPr="00C754C5">
        <w:rPr>
          <w:rFonts w:asciiTheme="minorHAnsi" w:hAnsiTheme="minorHAnsi"/>
          <w:lang w:val="en-US"/>
        </w:rPr>
        <w:t xml:space="preserve">, </w:t>
      </w:r>
    </w:p>
    <w:p w:rsidR="007D0D26" w:rsidRPr="00C754C5" w:rsidRDefault="007D0D26" w:rsidP="007D0D26">
      <w:pPr>
        <w:spacing w:after="0"/>
        <w:rPr>
          <w:rFonts w:asciiTheme="minorHAnsi" w:hAnsiTheme="minorHAnsi"/>
        </w:rPr>
      </w:pPr>
      <w:proofErr w:type="gramStart"/>
      <w:r w:rsidRPr="00C754C5">
        <w:rPr>
          <w:rFonts w:asciiTheme="minorHAnsi" w:hAnsiTheme="minorHAnsi"/>
          <w:lang w:val="en-US"/>
        </w:rPr>
        <w:t>web-</w:t>
      </w:r>
      <w:r w:rsidRPr="00C754C5">
        <w:rPr>
          <w:rFonts w:asciiTheme="minorHAnsi" w:hAnsiTheme="minorHAnsi"/>
        </w:rPr>
        <w:t>сайт</w:t>
      </w:r>
      <w:proofErr w:type="gramEnd"/>
      <w:r w:rsidRPr="00C754C5">
        <w:rPr>
          <w:rFonts w:asciiTheme="minorHAnsi" w:hAnsiTheme="minorHAnsi"/>
          <w:lang w:val="en-US"/>
        </w:rPr>
        <w:t>: www.bn.ru</w:t>
      </w:r>
    </w:p>
    <w:p w:rsidR="00954379" w:rsidRPr="00C754C5" w:rsidRDefault="00954379" w:rsidP="00AC0B4E">
      <w:pPr>
        <w:rPr>
          <w:rFonts w:asciiTheme="minorHAnsi" w:hAnsiTheme="minorHAnsi"/>
          <w:noProof/>
          <w:lang w:eastAsia="ru-RU"/>
        </w:rPr>
      </w:pPr>
    </w:p>
    <w:sectPr w:rsidR="00954379" w:rsidRPr="00C754C5" w:rsidSect="003318E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3604"/>
    <w:rsid w:val="0000760A"/>
    <w:rsid w:val="0009354B"/>
    <w:rsid w:val="000D3C7E"/>
    <w:rsid w:val="000D5B14"/>
    <w:rsid w:val="000F520C"/>
    <w:rsid w:val="001022DF"/>
    <w:rsid w:val="00117444"/>
    <w:rsid w:val="00166FE0"/>
    <w:rsid w:val="001D596E"/>
    <w:rsid w:val="001D65B6"/>
    <w:rsid w:val="0023059C"/>
    <w:rsid w:val="00243E1E"/>
    <w:rsid w:val="00290895"/>
    <w:rsid w:val="002E5EA0"/>
    <w:rsid w:val="002F2DCE"/>
    <w:rsid w:val="0030065C"/>
    <w:rsid w:val="003167B8"/>
    <w:rsid w:val="003229A1"/>
    <w:rsid w:val="00325A8C"/>
    <w:rsid w:val="003318EE"/>
    <w:rsid w:val="00333C38"/>
    <w:rsid w:val="00333F73"/>
    <w:rsid w:val="00355052"/>
    <w:rsid w:val="003E7588"/>
    <w:rsid w:val="00405A49"/>
    <w:rsid w:val="004477D4"/>
    <w:rsid w:val="00456BA3"/>
    <w:rsid w:val="004637CB"/>
    <w:rsid w:val="004769C7"/>
    <w:rsid w:val="00487856"/>
    <w:rsid w:val="0049212B"/>
    <w:rsid w:val="004F06CE"/>
    <w:rsid w:val="004F3B96"/>
    <w:rsid w:val="00514943"/>
    <w:rsid w:val="005719A7"/>
    <w:rsid w:val="005C6DFA"/>
    <w:rsid w:val="005F488C"/>
    <w:rsid w:val="0067716F"/>
    <w:rsid w:val="007676B2"/>
    <w:rsid w:val="00777FF5"/>
    <w:rsid w:val="00797C17"/>
    <w:rsid w:val="007B47A9"/>
    <w:rsid w:val="007C4ABB"/>
    <w:rsid w:val="007D0D26"/>
    <w:rsid w:val="00821608"/>
    <w:rsid w:val="008226B7"/>
    <w:rsid w:val="008262C6"/>
    <w:rsid w:val="008762A3"/>
    <w:rsid w:val="00894196"/>
    <w:rsid w:val="008F5AC7"/>
    <w:rsid w:val="00913EEF"/>
    <w:rsid w:val="00935DF9"/>
    <w:rsid w:val="00954379"/>
    <w:rsid w:val="00966260"/>
    <w:rsid w:val="0099256E"/>
    <w:rsid w:val="009963EC"/>
    <w:rsid w:val="009C721F"/>
    <w:rsid w:val="009D1458"/>
    <w:rsid w:val="00A02DF2"/>
    <w:rsid w:val="00A142E0"/>
    <w:rsid w:val="00A2697E"/>
    <w:rsid w:val="00A7185B"/>
    <w:rsid w:val="00A8195C"/>
    <w:rsid w:val="00A84E9D"/>
    <w:rsid w:val="00AB4E74"/>
    <w:rsid w:val="00AC0B4E"/>
    <w:rsid w:val="00AE1425"/>
    <w:rsid w:val="00B12312"/>
    <w:rsid w:val="00B56CB9"/>
    <w:rsid w:val="00B63926"/>
    <w:rsid w:val="00BA7C8E"/>
    <w:rsid w:val="00C028E8"/>
    <w:rsid w:val="00C105DC"/>
    <w:rsid w:val="00C44A95"/>
    <w:rsid w:val="00C754C5"/>
    <w:rsid w:val="00C77A96"/>
    <w:rsid w:val="00C77F04"/>
    <w:rsid w:val="00CB7C1B"/>
    <w:rsid w:val="00CD5723"/>
    <w:rsid w:val="00CF10B1"/>
    <w:rsid w:val="00D32B50"/>
    <w:rsid w:val="00D44E85"/>
    <w:rsid w:val="00D500CD"/>
    <w:rsid w:val="00D50628"/>
    <w:rsid w:val="00D91423"/>
    <w:rsid w:val="00DA1D47"/>
    <w:rsid w:val="00DB1487"/>
    <w:rsid w:val="00DC585B"/>
    <w:rsid w:val="00DE4078"/>
    <w:rsid w:val="00E06B77"/>
    <w:rsid w:val="00E07149"/>
    <w:rsid w:val="00E11116"/>
    <w:rsid w:val="00E23604"/>
    <w:rsid w:val="00E26FA4"/>
    <w:rsid w:val="00E42DAA"/>
    <w:rsid w:val="00E43599"/>
    <w:rsid w:val="00E45C43"/>
    <w:rsid w:val="00E61732"/>
    <w:rsid w:val="00E916A8"/>
    <w:rsid w:val="00ED129E"/>
    <w:rsid w:val="00F2304E"/>
    <w:rsid w:val="00F339DB"/>
    <w:rsid w:val="00FB7563"/>
    <w:rsid w:val="00FC4B59"/>
    <w:rsid w:val="00FC6318"/>
    <w:rsid w:val="00FD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60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269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rsid w:val="002F2DCE"/>
    <w:rPr>
      <w:color w:val="0000FF"/>
      <w:u w:val="single"/>
    </w:rPr>
  </w:style>
  <w:style w:type="paragraph" w:customStyle="1" w:styleId="Tabledate">
    <w:name w:val="Table date"/>
    <w:basedOn w:val="a"/>
    <w:rsid w:val="002F2DCE"/>
    <w:pPr>
      <w:autoSpaceDE w:val="0"/>
      <w:autoSpaceDN w:val="0"/>
      <w:adjustRightInd w:val="0"/>
      <w:spacing w:after="0" w:line="220" w:lineRule="atLeast"/>
      <w:jc w:val="center"/>
      <w:textAlignment w:val="center"/>
    </w:pPr>
    <w:rPr>
      <w:rFonts w:ascii="OfficinaSansMediumC" w:eastAsia="Times New Roman" w:hAnsi="OfficinaSansMediumC" w:cs="OfficinaSansMediumC"/>
      <w:color w:val="000000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D5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hyperlink" Target="mailto:analitika@bn.ru" TargetMode="Externa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image" Target="../media/image1.jpeg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Office_Excel10.xlsx"/><Relationship Id="rId1" Type="http://schemas.openxmlformats.org/officeDocument/2006/relationships/image" Target="../media/image1.jpeg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Office_Excel11.xlsx"/><Relationship Id="rId1" Type="http://schemas.openxmlformats.org/officeDocument/2006/relationships/image" Target="../media/image1.jpeg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Office_Excel12.xlsx"/><Relationship Id="rId1" Type="http://schemas.openxmlformats.org/officeDocument/2006/relationships/image" Target="../media/image1.jpeg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Office_Excel13.xlsx"/><Relationship Id="rId1" Type="http://schemas.openxmlformats.org/officeDocument/2006/relationships/image" Target="../media/image1.jpeg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Office_Excel14.xlsx"/><Relationship Id="rId1" Type="http://schemas.openxmlformats.org/officeDocument/2006/relationships/image" Target="../media/image1.jpeg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Office_Excel15.xlsx"/><Relationship Id="rId1" Type="http://schemas.openxmlformats.org/officeDocument/2006/relationships/image" Target="../media/image1.jpeg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6.xml"/><Relationship Id="rId2" Type="http://schemas.openxmlformats.org/officeDocument/2006/relationships/package" Target="../embeddings/_____Microsoft_Office_Excel16.xlsx"/><Relationship Id="rId1" Type="http://schemas.openxmlformats.org/officeDocument/2006/relationships/image" Target="../media/image1.jpeg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7.xml"/><Relationship Id="rId2" Type="http://schemas.openxmlformats.org/officeDocument/2006/relationships/package" Target="../embeddings/_____Microsoft_Office_Excel17.xlsx"/><Relationship Id="rId1" Type="http://schemas.openxmlformats.org/officeDocument/2006/relationships/image" Target="../media/image1.jpeg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8.xml"/><Relationship Id="rId2" Type="http://schemas.openxmlformats.org/officeDocument/2006/relationships/package" Target="../embeddings/_____Microsoft_Office_Excel18.xlsx"/><Relationship Id="rId1" Type="http://schemas.openxmlformats.org/officeDocument/2006/relationships/image" Target="../media/image1.jpeg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9.xml"/><Relationship Id="rId2" Type="http://schemas.openxmlformats.org/officeDocument/2006/relationships/package" Target="../embeddings/_____Microsoft_Office_Excel19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image" Target="../media/image1.jpeg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0.xml"/><Relationship Id="rId2" Type="http://schemas.openxmlformats.org/officeDocument/2006/relationships/package" Target="../embeddings/_____Microsoft_Office_Excel20.xlsx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Office_Excel3.xlsx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Office_Excel4.xlsx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Office_Excel5.xlsx"/><Relationship Id="rId1" Type="http://schemas.openxmlformats.org/officeDocument/2006/relationships/image" Target="../media/image1.jpeg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Office_Excel6.xlsx"/><Relationship Id="rId1" Type="http://schemas.openxmlformats.org/officeDocument/2006/relationships/image" Target="../media/image1.jpeg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Office_Excel7.xlsx"/><Relationship Id="rId1" Type="http://schemas.openxmlformats.org/officeDocument/2006/relationships/image" Target="../media/image1.jpeg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Office_Excel8.xlsx"/><Relationship Id="rId1" Type="http://schemas.openxmlformats.org/officeDocument/2006/relationships/image" Target="../media/image1.jpeg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Office_Excel9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plotArea>
      <c:layout>
        <c:manualLayout>
          <c:layoutTarget val="inner"/>
          <c:xMode val="edge"/>
          <c:yMode val="edge"/>
          <c:x val="0.18738551013711671"/>
          <c:y val="4.0564937229198156E-2"/>
          <c:w val="0.76749676392545529"/>
          <c:h val="0.82513554049550064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marker>
            <c:symbol val="none"/>
          </c:marker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44395.223716536602</c:v>
                </c:pt>
                <c:pt idx="1">
                  <c:v>44562.431353559885</c:v>
                </c:pt>
                <c:pt idx="2">
                  <c:v>45000.660491620751</c:v>
                </c:pt>
                <c:pt idx="3">
                  <c:v>45561.664049075531</c:v>
                </c:pt>
                <c:pt idx="4">
                  <c:v>45821.878791109091</c:v>
                </c:pt>
                <c:pt idx="5">
                  <c:v>46407.860685470601</c:v>
                </c:pt>
              </c:numCache>
            </c:numRef>
          </c:val>
        </c:ser>
        <c:marker val="1"/>
        <c:axId val="63542400"/>
        <c:axId val="63543936"/>
      </c:lineChart>
      <c:dateAx>
        <c:axId val="63542400"/>
        <c:scaling>
          <c:orientation val="minMax"/>
        </c:scaling>
        <c:axPos val="b"/>
        <c:minorGridlines/>
        <c:numFmt formatCode="mmm\ yy" sourceLinked="0"/>
        <c:tickLblPos val="nextTo"/>
        <c:crossAx val="63543936"/>
        <c:crosses val="autoZero"/>
        <c:auto val="1"/>
        <c:lblOffset val="100"/>
        <c:majorUnit val="1"/>
        <c:majorTimeUnit val="months"/>
      </c:dateAx>
      <c:valAx>
        <c:axId val="63543936"/>
        <c:scaling>
          <c:orientation val="minMax"/>
          <c:max val="50000"/>
          <c:min val="40000"/>
        </c:scaling>
        <c:axPos val="l"/>
        <c:majorGridlines/>
        <c:numFmt formatCode="#,##0" sourceLinked="0"/>
        <c:tickLblPos val="nextTo"/>
        <c:crossAx val="63542400"/>
        <c:crosses val="autoZero"/>
        <c:crossBetween val="between"/>
        <c:majorUnit val="20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999"/>
      </a:pPr>
      <a:endParaRPr lang="ru-RU"/>
    </a:p>
  </c:txPr>
  <c:externalData r:id="rId2"/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907"/>
          <c:y val="3.5452410049677092E-3"/>
          <c:w val="0.75214407756828683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&lt;60</c:v>
                </c:pt>
                <c:pt idx="1">
                  <c:v>60-80</c:v>
                </c:pt>
                <c:pt idx="2">
                  <c:v>80-100</c:v>
                </c:pt>
                <c:pt idx="3">
                  <c:v>100-120</c:v>
                </c:pt>
                <c:pt idx="4">
                  <c:v>120-140</c:v>
                </c:pt>
                <c:pt idx="5">
                  <c:v>&gt;140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3.7664783427495334E-3</c:v>
                </c:pt>
                <c:pt idx="1">
                  <c:v>0.30131826741996343</c:v>
                </c:pt>
                <c:pt idx="2">
                  <c:v>0.35028248587570687</c:v>
                </c:pt>
                <c:pt idx="3">
                  <c:v>7.7212806026365419E-2</c:v>
                </c:pt>
                <c:pt idx="4">
                  <c:v>5.8380414312617805E-2</c:v>
                </c:pt>
                <c:pt idx="5">
                  <c:v>0.20903954802259891</c:v>
                </c:pt>
              </c:numCache>
            </c:numRef>
          </c:val>
        </c:ser>
        <c:axId val="77866112"/>
        <c:axId val="77867648"/>
      </c:barChart>
      <c:catAx>
        <c:axId val="77866112"/>
        <c:scaling>
          <c:orientation val="minMax"/>
        </c:scaling>
        <c:axPos val="l"/>
        <c:minorGridlines/>
        <c:numFmt formatCode="General" sourceLinked="1"/>
        <c:tickLblPos val="nextTo"/>
        <c:crossAx val="77867648"/>
        <c:crosses val="autoZero"/>
        <c:auto val="1"/>
        <c:lblAlgn val="ctr"/>
        <c:lblOffset val="100"/>
      </c:catAx>
      <c:valAx>
        <c:axId val="77867648"/>
        <c:scaling>
          <c:orientation val="minMax"/>
          <c:max val="0.5"/>
          <c:min val="0"/>
        </c:scaling>
        <c:axPos val="b"/>
        <c:majorGridlines/>
        <c:numFmt formatCode="0%" sourceLinked="0"/>
        <c:tickLblPos val="nextTo"/>
        <c:crossAx val="77866112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/>
      </a:pPr>
      <a:endParaRPr lang="ru-RU"/>
    </a:p>
  </c:txPr>
  <c:externalData r:id="rId2"/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plotArea>
      <c:layout>
        <c:manualLayout>
          <c:layoutTarget val="inner"/>
          <c:xMode val="edge"/>
          <c:yMode val="edge"/>
          <c:x val="0.18738551013711671"/>
          <c:y val="4.0564937229197934E-2"/>
          <c:w val="0.76749676392545529"/>
          <c:h val="0.82513554049550064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marker>
            <c:symbol val="none"/>
          </c:marker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37987.211247112275</c:v>
                </c:pt>
                <c:pt idx="1">
                  <c:v>38124.689534430443</c:v>
                </c:pt>
                <c:pt idx="2">
                  <c:v>38953.53419975235</c:v>
                </c:pt>
                <c:pt idx="3">
                  <c:v>38916.507973611071</c:v>
                </c:pt>
                <c:pt idx="4">
                  <c:v>39344.0745663134</c:v>
                </c:pt>
                <c:pt idx="5">
                  <c:v>39904.203430665773</c:v>
                </c:pt>
              </c:numCache>
            </c:numRef>
          </c:val>
        </c:ser>
        <c:marker val="1"/>
        <c:axId val="77903744"/>
        <c:axId val="77905280"/>
      </c:lineChart>
      <c:dateAx>
        <c:axId val="77903744"/>
        <c:scaling>
          <c:orientation val="minMax"/>
        </c:scaling>
        <c:axPos val="b"/>
        <c:minorGridlines/>
        <c:numFmt formatCode="mmm\ yy" sourceLinked="0"/>
        <c:tickLblPos val="nextTo"/>
        <c:crossAx val="77905280"/>
        <c:crosses val="autoZero"/>
        <c:auto val="1"/>
        <c:lblOffset val="100"/>
      </c:dateAx>
      <c:valAx>
        <c:axId val="77905280"/>
        <c:scaling>
          <c:orientation val="minMax"/>
          <c:max val="44000"/>
          <c:min val="34000"/>
        </c:scaling>
        <c:axPos val="l"/>
        <c:majorGridlines/>
        <c:numFmt formatCode="#,##0" sourceLinked="0"/>
        <c:tickLblPos val="nextTo"/>
        <c:crossAx val="77903744"/>
        <c:crosses val="autoZero"/>
        <c:crossBetween val="between"/>
        <c:majorUnit val="20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999"/>
      </a:pPr>
      <a:endParaRPr lang="ru-RU"/>
    </a:p>
  </c:txPr>
  <c:externalData r:id="rId2"/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3434433211125157"/>
          <c:y val="4.32379735584935E-2"/>
          <c:w val="0.82324679973830051"/>
          <c:h val="0.8232170978627559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Лист1!$B$2:$B$7</c:f>
              <c:numCache>
                <c:formatCode>0.00%</c:formatCode>
                <c:ptCount val="6"/>
                <c:pt idx="0">
                  <c:v>-2.3705223824444004E-4</c:v>
                </c:pt>
                <c:pt idx="1">
                  <c:v>3.6190676494733992E-3</c:v>
                </c:pt>
                <c:pt idx="2">
                  <c:v>2.1740364982471252E-2</c:v>
                </c:pt>
                <c:pt idx="3">
                  <c:v>-9.5052289610875196E-4</c:v>
                </c:pt>
                <c:pt idx="4">
                  <c:v>1.0986766669614859E-2</c:v>
                </c:pt>
                <c:pt idx="5">
                  <c:v>1.4236676565066553E-2</c:v>
                </c:pt>
              </c:numCache>
            </c:numRef>
          </c:val>
        </c:ser>
        <c:axId val="77912704"/>
        <c:axId val="80118144"/>
      </c:barChart>
      <c:dateAx>
        <c:axId val="77912704"/>
        <c:scaling>
          <c:orientation val="minMax"/>
        </c:scaling>
        <c:axPos val="b"/>
        <c:minorGridlines/>
        <c:numFmt formatCode="mmm\ yy" sourceLinked="0"/>
        <c:tickLblPos val="nextTo"/>
        <c:crossAx val="80118144"/>
        <c:crosses val="autoZero"/>
        <c:auto val="1"/>
        <c:lblOffset val="100"/>
      </c:dateAx>
      <c:valAx>
        <c:axId val="80118144"/>
        <c:scaling>
          <c:orientation val="minMax"/>
          <c:max val="4.0000000000000022E-2"/>
        </c:scaling>
        <c:axPos val="l"/>
        <c:majorGridlines/>
        <c:numFmt formatCode="0.0%" sourceLinked="0"/>
        <c:tickLblPos val="nextTo"/>
        <c:crossAx val="77912704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998"/>
      </a:pPr>
      <a:endParaRPr lang="ru-RU"/>
    </a:p>
  </c:txPr>
  <c:externalData r:id="rId2"/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plotArea>
      <c:layout>
        <c:manualLayout>
          <c:layoutTarget val="inner"/>
          <c:xMode val="edge"/>
          <c:yMode val="edge"/>
          <c:x val="0.15990721600681937"/>
          <c:y val="0"/>
          <c:w val="0.77601470657853089"/>
          <c:h val="0.88243851953342245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Июль 2013 г.</c:v>
                </c:pt>
              </c:strCache>
            </c:strRef>
          </c:tx>
          <c:cat>
            <c:strRef>
              <c:f>Лист1!$A$2:$A$8</c:f>
              <c:strCache>
                <c:ptCount val="7"/>
                <c:pt idx="0">
                  <c:v>&lt;30</c:v>
                </c:pt>
                <c:pt idx="1">
                  <c:v>30-35</c:v>
                </c:pt>
                <c:pt idx="2">
                  <c:v>35-40</c:v>
                </c:pt>
                <c:pt idx="3">
                  <c:v>40-45</c:v>
                </c:pt>
                <c:pt idx="4">
                  <c:v>45-50</c:v>
                </c:pt>
                <c:pt idx="5">
                  <c:v>50-55</c:v>
                </c:pt>
                <c:pt idx="6">
                  <c:v>&gt;55</c:v>
                </c:pt>
              </c:strCache>
            </c:strRef>
          </c:cat>
          <c:val>
            <c:numRef>
              <c:f>Лист1!$B$2:$B$8</c:f>
              <c:numCache>
                <c:formatCode>0.00%</c:formatCode>
                <c:ptCount val="7"/>
                <c:pt idx="0">
                  <c:v>0</c:v>
                </c:pt>
                <c:pt idx="1">
                  <c:v>5.5600000000000004E-2</c:v>
                </c:pt>
                <c:pt idx="2">
                  <c:v>0.64720000000000077</c:v>
                </c:pt>
                <c:pt idx="3">
                  <c:v>0.1111</c:v>
                </c:pt>
                <c:pt idx="4">
                  <c:v>0.10740000000000002</c:v>
                </c:pt>
                <c:pt idx="5">
                  <c:v>6.6799999999999998E-2</c:v>
                </c:pt>
                <c:pt idx="6">
                  <c:v>1.1900000000000025E-2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Декабрь 2013 г.</c:v>
                </c:pt>
              </c:strCache>
            </c:strRef>
          </c:tx>
          <c:spPr>
            <a:solidFill>
              <a:schemeClr val="tx1">
                <a:lumMod val="75000"/>
                <a:lumOff val="25000"/>
              </a:schemeClr>
            </a:solidFill>
          </c:spPr>
          <c:cat>
            <c:strRef>
              <c:f>Лист1!$A$2:$A$8</c:f>
              <c:strCache>
                <c:ptCount val="7"/>
                <c:pt idx="0">
                  <c:v>&lt;30</c:v>
                </c:pt>
                <c:pt idx="1">
                  <c:v>30-35</c:v>
                </c:pt>
                <c:pt idx="2">
                  <c:v>35-40</c:v>
                </c:pt>
                <c:pt idx="3">
                  <c:v>40-45</c:v>
                </c:pt>
                <c:pt idx="4">
                  <c:v>45-50</c:v>
                </c:pt>
                <c:pt idx="5">
                  <c:v>50-55</c:v>
                </c:pt>
                <c:pt idx="6">
                  <c:v>&gt;55</c:v>
                </c:pt>
              </c:strCache>
            </c:strRef>
          </c:cat>
          <c:val>
            <c:numRef>
              <c:f>Лист1!$C$2:$C$8</c:f>
              <c:numCache>
                <c:formatCode>0.00%</c:formatCode>
                <c:ptCount val="7"/>
                <c:pt idx="0">
                  <c:v>2.07E-2</c:v>
                </c:pt>
                <c:pt idx="1">
                  <c:v>0.1686</c:v>
                </c:pt>
                <c:pt idx="2">
                  <c:v>0.33430000000000065</c:v>
                </c:pt>
                <c:pt idx="3">
                  <c:v>0.30180000000000046</c:v>
                </c:pt>
                <c:pt idx="4">
                  <c:v>0.1154</c:v>
                </c:pt>
                <c:pt idx="5">
                  <c:v>5.62E-2</c:v>
                </c:pt>
                <c:pt idx="6">
                  <c:v>3.0000000000000035E-3</c:v>
                </c:pt>
              </c:numCache>
            </c:numRef>
          </c:val>
        </c:ser>
        <c:axId val="78147968"/>
        <c:axId val="78149504"/>
      </c:barChart>
      <c:catAx>
        <c:axId val="78147968"/>
        <c:scaling>
          <c:orientation val="minMax"/>
        </c:scaling>
        <c:axPos val="l"/>
        <c:minorGridlines/>
        <c:numFmt formatCode="General" sourceLinked="1"/>
        <c:tickLblPos val="nextTo"/>
        <c:crossAx val="78149504"/>
        <c:crosses val="autoZero"/>
        <c:auto val="1"/>
        <c:lblAlgn val="ctr"/>
        <c:lblOffset val="100"/>
      </c:catAx>
      <c:valAx>
        <c:axId val="78149504"/>
        <c:scaling>
          <c:orientation val="minMax"/>
        </c:scaling>
        <c:axPos val="b"/>
        <c:majorGridlines/>
        <c:numFmt formatCode="0%" sourceLinked="0"/>
        <c:tickLblPos val="nextTo"/>
        <c:crossAx val="78147968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r"/>
      <c:layout>
        <c:manualLayout>
          <c:xMode val="edge"/>
          <c:yMode val="edge"/>
          <c:x val="0.58789358244047163"/>
          <c:y val="0.64865768050180284"/>
          <c:w val="0.33595422193847557"/>
          <c:h val="0.2043796048336592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txPr>
    <a:bodyPr/>
    <a:lstStyle/>
    <a:p>
      <a:pPr>
        <a:defRPr sz="998"/>
      </a:pPr>
      <a:endParaRPr lang="ru-RU"/>
    </a:p>
  </c:txPr>
  <c:externalData r:id="rId2"/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1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7.2515285924441536E-2"/>
          <c:y val="0.17058418249189475"/>
          <c:w val="0.81167499476802363"/>
          <c:h val="0.7557963645065195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5438557493431232"/>
                  <c:y val="-0.15232682479724491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3.8306015903337505E-3"/>
                  <c:y val="-0.24958545622973591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2.2055231542059538E-2"/>
                  <c:y val="-0.1415418017600743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4.5640311971924294E-2"/>
                  <c:y val="-1.8030132458794857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9.6866827550668763E-2"/>
                  <c:y val="1.7485207249834801E-2"/>
                </c:manualLayout>
              </c:layout>
              <c:dLblPos val="bestFit"/>
              <c:showVal val="1"/>
              <c:showCatNam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</c:dLbls>
          <c:cat>
            <c:strRef>
              <c:f>Лист1!$A$2:$A$5</c:f>
              <c:strCache>
                <c:ptCount val="4"/>
                <c:pt idx="0">
                  <c:v>1ккв</c:v>
                </c:pt>
                <c:pt idx="1">
                  <c:v>2ккв</c:v>
                </c:pt>
                <c:pt idx="2">
                  <c:v>3ккв</c:v>
                </c:pt>
                <c:pt idx="3">
                  <c:v>&gt;3ккв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0.36842105263157893</c:v>
                </c:pt>
                <c:pt idx="1">
                  <c:v>0.26315789473684231</c:v>
                </c:pt>
                <c:pt idx="2">
                  <c:v>0.26315789473684231</c:v>
                </c:pt>
                <c:pt idx="3">
                  <c:v>0.10526315789473686</c:v>
                </c:pt>
              </c:numCache>
            </c:numRef>
          </c:val>
        </c:ser>
      </c:pie3DChart>
      <c:spPr>
        <a:noFill/>
        <a:ln w="25388">
          <a:noFill/>
        </a:ln>
      </c:spPr>
    </c:plotArea>
    <c:plotVisOnly val="1"/>
    <c:dispBlanksAs val="zero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/>
      </a:pPr>
      <a:endParaRPr lang="ru-RU"/>
    </a:p>
  </c:txPr>
  <c:externalData r:id="rId2"/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1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9.3651341969350863E-2"/>
          <c:y val="0.1702918017600743"/>
          <c:w val="0.81167499476802363"/>
          <c:h val="0.7557963645065197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7170806966499377"/>
                  <c:y val="-0.15205544291375031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0.15020777241554484"/>
                  <c:y val="-0.25316060676238999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2.1503213460537615E-2"/>
                  <c:y val="-4.4791319483020432E-2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4.7508951163089105E-2"/>
                  <c:y val="-1.8029968476162703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6.0634344721931493E-2"/>
                  <c:y val="1.7485228660027503E-2"/>
                </c:manualLayout>
              </c:layout>
              <c:dLblPos val="bestFit"/>
              <c:showVal val="1"/>
              <c:showCatNam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</c:dLbls>
          <c:cat>
            <c:strRef>
              <c:f>Лист1!$A$2:$A$5</c:f>
              <c:strCache>
                <c:ptCount val="4"/>
                <c:pt idx="0">
                  <c:v>1ккв</c:v>
                </c:pt>
                <c:pt idx="1">
                  <c:v>2ккв</c:v>
                </c:pt>
                <c:pt idx="2">
                  <c:v>3ккв</c:v>
                </c:pt>
                <c:pt idx="3">
                  <c:v>&gt;3ккв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0.36826347305389268</c:v>
                </c:pt>
                <c:pt idx="1">
                  <c:v>0.35628742514970108</c:v>
                </c:pt>
                <c:pt idx="2">
                  <c:v>0.22754491017964071</c:v>
                </c:pt>
                <c:pt idx="3">
                  <c:v>4.7904191616766484E-2</c:v>
                </c:pt>
              </c:numCache>
            </c:numRef>
          </c:val>
        </c:ser>
      </c:pie3DChart>
      <c:spPr>
        <a:noFill/>
        <a:ln w="25398">
          <a:noFill/>
        </a:ln>
      </c:spPr>
    </c:plotArea>
    <c:plotVisOnly val="1"/>
    <c:dispBlanksAs val="zero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/>
      </a:pPr>
      <a:endParaRPr lang="ru-RU"/>
    </a:p>
  </c:txPr>
  <c:externalData r:id="rId2"/>
  <c:userShapes r:id="rId3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plotArea>
      <c:layout>
        <c:manualLayout>
          <c:layoutTarget val="inner"/>
          <c:xMode val="edge"/>
          <c:yMode val="edge"/>
          <c:x val="0.19495227615600244"/>
          <c:y val="4.2530948144567364E-2"/>
          <c:w val="0.7571313135749923"/>
          <c:h val="0.8170008878280236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1ккв</c:v>
                </c:pt>
              </c:strCache>
            </c:strRef>
          </c:tx>
          <c:marker>
            <c:symbol val="none"/>
          </c:marker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37919.047619047611</c:v>
                </c:pt>
                <c:pt idx="1">
                  <c:v>37895.833333333285</c:v>
                </c:pt>
                <c:pt idx="2">
                  <c:v>37895.833333333285</c:v>
                </c:pt>
                <c:pt idx="3">
                  <c:v>38921.604108086518</c:v>
                </c:pt>
                <c:pt idx="4">
                  <c:v>39512.634823677785</c:v>
                </c:pt>
                <c:pt idx="5">
                  <c:v>39102.666745639093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2ккв</c:v>
                </c:pt>
              </c:strCache>
            </c:strRef>
          </c:tx>
          <c:marker>
            <c:symbol val="none"/>
          </c:marker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Лист1!$C$2:$C$7</c:f>
              <c:numCache>
                <c:formatCode>#,##0.0</c:formatCode>
                <c:ptCount val="6"/>
                <c:pt idx="0">
                  <c:v>37194.346707050361</c:v>
                </c:pt>
                <c:pt idx="1">
                  <c:v>37256.536324989429</c:v>
                </c:pt>
                <c:pt idx="2">
                  <c:v>37941.176470588194</c:v>
                </c:pt>
                <c:pt idx="3">
                  <c:v>38442.824225016942</c:v>
                </c:pt>
                <c:pt idx="4">
                  <c:v>38862.320290002099</c:v>
                </c:pt>
                <c:pt idx="5">
                  <c:v>40363.295819730374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3ккв</c:v>
                </c:pt>
              </c:strCache>
            </c:strRef>
          </c:tx>
          <c:marker>
            <c:symbol val="none"/>
          </c:marker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Лист1!$D$2:$D$7</c:f>
              <c:numCache>
                <c:formatCode>#,##0.0</c:formatCode>
                <c:ptCount val="6"/>
                <c:pt idx="0">
                  <c:v>36265.816194578016</c:v>
                </c:pt>
                <c:pt idx="1">
                  <c:v>36307.036598362662</c:v>
                </c:pt>
                <c:pt idx="2">
                  <c:v>37700.934579439243</c:v>
                </c:pt>
                <c:pt idx="3">
                  <c:v>38832.787807580185</c:v>
                </c:pt>
                <c:pt idx="4">
                  <c:v>39217.788447732186</c:v>
                </c:pt>
                <c:pt idx="5">
                  <c:v>40136.219096606597</c:v>
                </c:pt>
              </c:numCache>
            </c:numRef>
          </c:val>
        </c:ser>
        <c:marker val="1"/>
        <c:axId val="79952896"/>
        <c:axId val="79941632"/>
      </c:lineChart>
      <c:dateAx>
        <c:axId val="79952896"/>
        <c:scaling>
          <c:orientation val="minMax"/>
        </c:scaling>
        <c:axPos val="b"/>
        <c:minorGridlines/>
        <c:numFmt formatCode="mmm\ yy" sourceLinked="0"/>
        <c:tickLblPos val="nextTo"/>
        <c:crossAx val="79941632"/>
        <c:crosses val="autoZero"/>
        <c:auto val="1"/>
        <c:lblOffset val="100"/>
      </c:dateAx>
      <c:valAx>
        <c:axId val="79941632"/>
        <c:scaling>
          <c:orientation val="minMax"/>
          <c:max val="44000"/>
          <c:min val="34000"/>
        </c:scaling>
        <c:axPos val="l"/>
        <c:majorGridlines/>
        <c:numFmt formatCode="#,##0" sourceLinked="0"/>
        <c:tickLblPos val="nextTo"/>
        <c:crossAx val="79952896"/>
        <c:crosses val="autoZero"/>
        <c:crossBetween val="between"/>
        <c:majorUnit val="20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r"/>
      <c:layout>
        <c:manualLayout>
          <c:xMode val="edge"/>
          <c:yMode val="edge"/>
          <c:x val="0.71639566526576814"/>
          <c:y val="0.54107582706008051"/>
          <c:w val="0.20258345007487571"/>
          <c:h val="0.29251478180612084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txPr>
    <a:bodyPr/>
    <a:lstStyle/>
    <a:p>
      <a:pPr>
        <a:defRPr sz="999"/>
      </a:pPr>
      <a:endParaRPr lang="ru-RU"/>
    </a:p>
  </c:txPr>
  <c:externalData r:id="rId2"/>
  <c:userShapes r:id="rId3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895"/>
          <c:y val="3.5452410049677092E-3"/>
          <c:w val="0.75214407756828627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&lt;30</c:v>
                </c:pt>
                <c:pt idx="1">
                  <c:v>30-35</c:v>
                </c:pt>
                <c:pt idx="2">
                  <c:v>35-40</c:v>
                </c:pt>
                <c:pt idx="3">
                  <c:v>40-45</c:v>
                </c:pt>
                <c:pt idx="4">
                  <c:v>45-50</c:v>
                </c:pt>
                <c:pt idx="5">
                  <c:v>&gt;50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0.13008130081300814</c:v>
                </c:pt>
                <c:pt idx="1">
                  <c:v>0.12195121951219511</c:v>
                </c:pt>
                <c:pt idx="2">
                  <c:v>0.21544715447154508</c:v>
                </c:pt>
                <c:pt idx="3">
                  <c:v>0.24390243902439068</c:v>
                </c:pt>
                <c:pt idx="4">
                  <c:v>0.13821138211382153</c:v>
                </c:pt>
                <c:pt idx="5">
                  <c:v>0.15040650406504083</c:v>
                </c:pt>
              </c:numCache>
            </c:numRef>
          </c:val>
        </c:ser>
        <c:axId val="79977856"/>
        <c:axId val="79910016"/>
      </c:barChart>
      <c:catAx>
        <c:axId val="79977856"/>
        <c:scaling>
          <c:orientation val="minMax"/>
        </c:scaling>
        <c:axPos val="l"/>
        <c:minorGridlines/>
        <c:numFmt formatCode="General" sourceLinked="1"/>
        <c:tickLblPos val="nextTo"/>
        <c:crossAx val="79910016"/>
        <c:crosses val="autoZero"/>
        <c:auto val="1"/>
        <c:lblAlgn val="ctr"/>
        <c:lblOffset val="100"/>
      </c:catAx>
      <c:valAx>
        <c:axId val="79910016"/>
        <c:scaling>
          <c:orientation val="minMax"/>
          <c:max val="0.5"/>
        </c:scaling>
        <c:axPos val="b"/>
        <c:majorGridlines/>
        <c:numFmt formatCode="0%" sourceLinked="0"/>
        <c:tickLblPos val="nextTo"/>
        <c:crossAx val="79977856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999"/>
      </a:pPr>
      <a:endParaRPr lang="ru-RU"/>
    </a:p>
  </c:txPr>
  <c:externalData r:id="rId2"/>
  <c:userShapes r:id="rId3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907"/>
          <c:y val="3.5452410049677092E-3"/>
          <c:w val="0.75214407756828683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&lt;40</c:v>
                </c:pt>
                <c:pt idx="1">
                  <c:v>40-50</c:v>
                </c:pt>
                <c:pt idx="2">
                  <c:v>50-60</c:v>
                </c:pt>
                <c:pt idx="3">
                  <c:v>60-70</c:v>
                </c:pt>
                <c:pt idx="4">
                  <c:v>70-80</c:v>
                </c:pt>
                <c:pt idx="5">
                  <c:v>&gt;80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5.8823529411764705E-2</c:v>
                </c:pt>
                <c:pt idx="1">
                  <c:v>0.13445378151260529</c:v>
                </c:pt>
                <c:pt idx="2">
                  <c:v>0.42016806722689143</c:v>
                </c:pt>
                <c:pt idx="3">
                  <c:v>0.12605042016806722</c:v>
                </c:pt>
                <c:pt idx="4">
                  <c:v>0.11764705882352942</c:v>
                </c:pt>
                <c:pt idx="5">
                  <c:v>0.14285714285714313</c:v>
                </c:pt>
              </c:numCache>
            </c:numRef>
          </c:val>
        </c:ser>
        <c:axId val="80142720"/>
        <c:axId val="80144256"/>
      </c:barChart>
      <c:catAx>
        <c:axId val="80142720"/>
        <c:scaling>
          <c:orientation val="minMax"/>
        </c:scaling>
        <c:axPos val="l"/>
        <c:minorGridlines/>
        <c:numFmt formatCode="General" sourceLinked="1"/>
        <c:tickLblPos val="nextTo"/>
        <c:crossAx val="80144256"/>
        <c:crosses val="autoZero"/>
        <c:auto val="1"/>
        <c:lblAlgn val="ctr"/>
        <c:lblOffset val="100"/>
      </c:catAx>
      <c:valAx>
        <c:axId val="80144256"/>
        <c:scaling>
          <c:orientation val="minMax"/>
          <c:max val="0.5"/>
        </c:scaling>
        <c:axPos val="b"/>
        <c:majorGridlines/>
        <c:numFmt formatCode="0%" sourceLinked="0"/>
        <c:tickLblPos val="nextTo"/>
        <c:crossAx val="80142720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999"/>
      </a:pPr>
      <a:endParaRPr lang="ru-RU"/>
    </a:p>
  </c:txPr>
  <c:externalData r:id="rId2"/>
  <c:userShapes r:id="rId3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907"/>
          <c:y val="3.5452410049677092E-3"/>
          <c:w val="0.75214407756828683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&lt;60</c:v>
                </c:pt>
                <c:pt idx="1">
                  <c:v>60-75</c:v>
                </c:pt>
                <c:pt idx="2">
                  <c:v>75-90</c:v>
                </c:pt>
                <c:pt idx="3">
                  <c:v>90-105</c:v>
                </c:pt>
                <c:pt idx="4">
                  <c:v>105-120</c:v>
                </c:pt>
                <c:pt idx="5">
                  <c:v>&gt;120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1.3157894736842111E-2</c:v>
                </c:pt>
                <c:pt idx="1">
                  <c:v>1.3157894736842111E-2</c:v>
                </c:pt>
                <c:pt idx="2">
                  <c:v>0.1578947368421057</c:v>
                </c:pt>
                <c:pt idx="3">
                  <c:v>0.23684210526315788</c:v>
                </c:pt>
                <c:pt idx="4">
                  <c:v>0.36842105263157893</c:v>
                </c:pt>
                <c:pt idx="5">
                  <c:v>0.21052631578947392</c:v>
                </c:pt>
              </c:numCache>
            </c:numRef>
          </c:val>
        </c:ser>
        <c:axId val="80114816"/>
        <c:axId val="80116352"/>
      </c:barChart>
      <c:catAx>
        <c:axId val="80114816"/>
        <c:scaling>
          <c:orientation val="minMax"/>
        </c:scaling>
        <c:axPos val="l"/>
        <c:minorGridlines/>
        <c:numFmt formatCode="General" sourceLinked="1"/>
        <c:tickLblPos val="nextTo"/>
        <c:crossAx val="80116352"/>
        <c:crosses val="autoZero"/>
        <c:auto val="1"/>
        <c:lblAlgn val="ctr"/>
        <c:lblOffset val="100"/>
      </c:catAx>
      <c:valAx>
        <c:axId val="80116352"/>
        <c:scaling>
          <c:orientation val="minMax"/>
        </c:scaling>
        <c:axPos val="b"/>
        <c:majorGridlines/>
        <c:numFmt formatCode="0%" sourceLinked="0"/>
        <c:tickLblPos val="nextTo"/>
        <c:crossAx val="80114816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/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3434433211125149"/>
          <c:y val="4.32379735584935E-2"/>
          <c:w val="0.82324679973830051"/>
          <c:h val="0.8232170978627562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Лист1!$B$2:$B$7</c:f>
              <c:numCache>
                <c:formatCode>0.00%</c:formatCode>
                <c:ptCount val="6"/>
                <c:pt idx="0">
                  <c:v>5.6497790164751292E-3</c:v>
                </c:pt>
                <c:pt idx="1">
                  <c:v>3.7663429311860512E-3</c:v>
                </c:pt>
                <c:pt idx="2">
                  <c:v>9.8340491025719068E-3</c:v>
                </c:pt>
                <c:pt idx="3">
                  <c:v>1.2466562742099899E-2</c:v>
                </c:pt>
                <c:pt idx="4">
                  <c:v>5.7112651055342334E-3</c:v>
                </c:pt>
                <c:pt idx="5">
                  <c:v>1.2788255519440081E-2</c:v>
                </c:pt>
              </c:numCache>
            </c:numRef>
          </c:val>
        </c:ser>
        <c:axId val="63559552"/>
        <c:axId val="63561088"/>
      </c:barChart>
      <c:dateAx>
        <c:axId val="63559552"/>
        <c:scaling>
          <c:orientation val="minMax"/>
        </c:scaling>
        <c:axPos val="b"/>
        <c:minorGridlines/>
        <c:numFmt formatCode="mmm\ yy" sourceLinked="0"/>
        <c:tickLblPos val="nextTo"/>
        <c:crossAx val="63561088"/>
        <c:crosses val="autoZero"/>
        <c:auto val="1"/>
        <c:lblOffset val="100"/>
        <c:majorUnit val="1"/>
        <c:majorTimeUnit val="months"/>
      </c:dateAx>
      <c:valAx>
        <c:axId val="63561088"/>
        <c:scaling>
          <c:orientation val="minMax"/>
          <c:max val="3.0000000000000002E-2"/>
        </c:scaling>
        <c:axPos val="l"/>
        <c:majorGridlines/>
        <c:numFmt formatCode="0.0%" sourceLinked="0"/>
        <c:tickLblPos val="nextTo"/>
        <c:crossAx val="63559552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/>
      </a:pPr>
      <a:endParaRPr lang="ru-RU"/>
    </a:p>
  </c:txPr>
  <c:externalData r:id="rId2"/>
  <c:userShapes r:id="rId3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923"/>
          <c:y val="3.5452410049677092E-3"/>
          <c:w val="0.75214407756828727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&lt;100</c:v>
                </c:pt>
                <c:pt idx="1">
                  <c:v>100-130</c:v>
                </c:pt>
                <c:pt idx="2">
                  <c:v>130-160</c:v>
                </c:pt>
                <c:pt idx="3">
                  <c:v>160-190</c:v>
                </c:pt>
                <c:pt idx="4">
                  <c:v>190-220</c:v>
                </c:pt>
                <c:pt idx="5">
                  <c:v>&gt;220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6.25E-2</c:v>
                </c:pt>
                <c:pt idx="1">
                  <c:v>0.18750000000000022</c:v>
                </c:pt>
                <c:pt idx="2">
                  <c:v>6.25E-2</c:v>
                </c:pt>
                <c:pt idx="3">
                  <c:v>0.62500000000000089</c:v>
                </c:pt>
                <c:pt idx="4">
                  <c:v>0</c:v>
                </c:pt>
                <c:pt idx="5">
                  <c:v>6.25E-2</c:v>
                </c:pt>
              </c:numCache>
            </c:numRef>
          </c:val>
        </c:ser>
        <c:axId val="78182272"/>
        <c:axId val="78183808"/>
      </c:barChart>
      <c:catAx>
        <c:axId val="78182272"/>
        <c:scaling>
          <c:orientation val="minMax"/>
        </c:scaling>
        <c:axPos val="l"/>
        <c:minorGridlines/>
        <c:numFmt formatCode="General" sourceLinked="1"/>
        <c:tickLblPos val="nextTo"/>
        <c:crossAx val="78183808"/>
        <c:crosses val="autoZero"/>
        <c:auto val="1"/>
        <c:lblAlgn val="ctr"/>
        <c:lblOffset val="100"/>
      </c:catAx>
      <c:valAx>
        <c:axId val="78183808"/>
        <c:scaling>
          <c:orientation val="minMax"/>
        </c:scaling>
        <c:axPos val="b"/>
        <c:majorGridlines/>
        <c:numFmt formatCode="0%" sourceLinked="0"/>
        <c:tickLblPos val="nextTo"/>
        <c:crossAx val="78182272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/>
      </a:pPr>
      <a:endParaRPr lang="ru-RU"/>
    </a:p>
  </c:tx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plotArea>
      <c:layout>
        <c:manualLayout>
          <c:layoutTarget val="inner"/>
          <c:xMode val="edge"/>
          <c:yMode val="edge"/>
          <c:x val="0.15990721600681931"/>
          <c:y val="0"/>
          <c:w val="0.77601470657853033"/>
          <c:h val="0.88243851953342245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Июль 2013 г.</c:v>
                </c:pt>
              </c:strCache>
            </c:strRef>
          </c:tx>
          <c:cat>
            <c:strRef>
              <c:f>Лист1!$A$2:$A$8</c:f>
              <c:strCache>
                <c:ptCount val="7"/>
                <c:pt idx="0">
                  <c:v>&lt;35</c:v>
                </c:pt>
                <c:pt idx="1">
                  <c:v>35-40</c:v>
                </c:pt>
                <c:pt idx="2">
                  <c:v>40-45</c:v>
                </c:pt>
                <c:pt idx="3">
                  <c:v>45-50</c:v>
                </c:pt>
                <c:pt idx="4">
                  <c:v>50-55</c:v>
                </c:pt>
                <c:pt idx="5">
                  <c:v>55-60</c:v>
                </c:pt>
                <c:pt idx="6">
                  <c:v>&gt;60</c:v>
                </c:pt>
              </c:strCache>
            </c:strRef>
          </c:cat>
          <c:val>
            <c:numRef>
              <c:f>Лист1!$B$2:$B$8</c:f>
              <c:numCache>
                <c:formatCode>0.00%</c:formatCode>
                <c:ptCount val="7"/>
                <c:pt idx="0">
                  <c:v>9.7600000000000006E-2</c:v>
                </c:pt>
                <c:pt idx="1">
                  <c:v>0.252</c:v>
                </c:pt>
                <c:pt idx="2">
                  <c:v>0.30890000000000045</c:v>
                </c:pt>
                <c:pt idx="3">
                  <c:v>0.23580000000000001</c:v>
                </c:pt>
                <c:pt idx="4">
                  <c:v>5.6899999999999999E-2</c:v>
                </c:pt>
                <c:pt idx="5">
                  <c:v>1.6299999999999999E-2</c:v>
                </c:pt>
                <c:pt idx="6">
                  <c:v>3.2500000000000001E-2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Декабрь 2013 г.</c:v>
                </c:pt>
              </c:strCache>
            </c:strRef>
          </c:tx>
          <c:spPr>
            <a:solidFill>
              <a:schemeClr val="tx1">
                <a:lumMod val="75000"/>
                <a:lumOff val="25000"/>
              </a:schemeClr>
            </a:solidFill>
          </c:spPr>
          <c:cat>
            <c:strRef>
              <c:f>Лист1!$A$2:$A$8</c:f>
              <c:strCache>
                <c:ptCount val="7"/>
                <c:pt idx="0">
                  <c:v>&lt;35</c:v>
                </c:pt>
                <c:pt idx="1">
                  <c:v>35-40</c:v>
                </c:pt>
                <c:pt idx="2">
                  <c:v>40-45</c:v>
                </c:pt>
                <c:pt idx="3">
                  <c:v>45-50</c:v>
                </c:pt>
                <c:pt idx="4">
                  <c:v>50-55</c:v>
                </c:pt>
                <c:pt idx="5">
                  <c:v>55-60</c:v>
                </c:pt>
                <c:pt idx="6">
                  <c:v>&gt;60</c:v>
                </c:pt>
              </c:strCache>
            </c:strRef>
          </c:cat>
          <c:val>
            <c:numRef>
              <c:f>Лист1!$C$2:$C$8</c:f>
              <c:numCache>
                <c:formatCode>0.00%</c:formatCode>
                <c:ptCount val="7"/>
                <c:pt idx="0">
                  <c:v>4.9500000000000023E-2</c:v>
                </c:pt>
                <c:pt idx="1">
                  <c:v>0.14610000000000001</c:v>
                </c:pt>
                <c:pt idx="2">
                  <c:v>0.25440000000000002</c:v>
                </c:pt>
                <c:pt idx="3">
                  <c:v>0.24700000000000019</c:v>
                </c:pt>
                <c:pt idx="4">
                  <c:v>0.19420000000000001</c:v>
                </c:pt>
                <c:pt idx="5">
                  <c:v>6.5400000000000014E-2</c:v>
                </c:pt>
                <c:pt idx="6">
                  <c:v>4.3500000000000004E-2</c:v>
                </c:pt>
              </c:numCache>
            </c:numRef>
          </c:val>
        </c:ser>
        <c:axId val="40480128"/>
        <c:axId val="63566976"/>
      </c:barChart>
      <c:catAx>
        <c:axId val="40480128"/>
        <c:scaling>
          <c:orientation val="minMax"/>
        </c:scaling>
        <c:axPos val="l"/>
        <c:minorGridlines/>
        <c:numFmt formatCode="General" sourceLinked="1"/>
        <c:tickLblPos val="nextTo"/>
        <c:crossAx val="63566976"/>
        <c:crosses val="autoZero"/>
        <c:auto val="1"/>
        <c:lblAlgn val="ctr"/>
        <c:lblOffset val="100"/>
      </c:catAx>
      <c:valAx>
        <c:axId val="63566976"/>
        <c:scaling>
          <c:orientation val="minMax"/>
        </c:scaling>
        <c:axPos val="b"/>
        <c:majorGridlines/>
        <c:numFmt formatCode="0%" sourceLinked="0"/>
        <c:tickLblPos val="nextTo"/>
        <c:crossAx val="40480128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r"/>
      <c:layout>
        <c:manualLayout>
          <c:xMode val="edge"/>
          <c:yMode val="edge"/>
          <c:x val="0.6079336626007934"/>
          <c:y val="0.19442039236620862"/>
          <c:w val="0.33595422193847529"/>
          <c:h val="0.20437960483365927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txPr>
    <a:bodyPr/>
    <a:lstStyle/>
    <a:p>
      <a:pPr>
        <a:defRPr sz="998"/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1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7.2515409555705984E-2"/>
          <c:y val="0.17058418249189475"/>
          <c:w val="0.81167499476802363"/>
          <c:h val="0.7557963645065193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8.562827603897176E-2"/>
                  <c:y val="-0.10940687969559361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-0.16029108917946375"/>
                  <c:y val="-0.25900069476609544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0.1524968824598287"/>
                  <c:y val="2.2226146364057401E-2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4.5640311971924294E-2"/>
                  <c:y val="-1.8030132458794857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9.6866827550668763E-2"/>
                  <c:y val="1.7485207249834801E-2"/>
                </c:manualLayout>
              </c:layout>
              <c:dLblPos val="bestFit"/>
              <c:showVal val="1"/>
              <c:showCatNam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</c:dLbls>
          <c:cat>
            <c:strRef>
              <c:f>Лист1!$A$2:$A$5</c:f>
              <c:strCache>
                <c:ptCount val="4"/>
                <c:pt idx="0">
                  <c:v>1ккв</c:v>
                </c:pt>
                <c:pt idx="1">
                  <c:v>2ккв</c:v>
                </c:pt>
                <c:pt idx="2">
                  <c:v>3ккв</c:v>
                </c:pt>
                <c:pt idx="3">
                  <c:v>&gt;3ккв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0.2955720072635849</c:v>
                </c:pt>
                <c:pt idx="1">
                  <c:v>0.32783908367090447</c:v>
                </c:pt>
                <c:pt idx="2">
                  <c:v>0.30185780136890727</c:v>
                </c:pt>
                <c:pt idx="3">
                  <c:v>7.4731107696605723E-2</c:v>
                </c:pt>
              </c:numCache>
            </c:numRef>
          </c:val>
        </c:ser>
      </c:pie3DChart>
      <c:spPr>
        <a:noFill/>
        <a:ln w="25398">
          <a:noFill/>
        </a:ln>
      </c:spPr>
    </c:plotArea>
    <c:plotVisOnly val="1"/>
    <c:dispBlanksAs val="zero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/>
      </a:pPr>
      <a:endParaRPr lang="ru-RU"/>
    </a:p>
  </c:txPr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1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9.3651341969350863E-2"/>
          <c:y val="0.16293886058360371"/>
          <c:w val="0.81167499476802363"/>
          <c:h val="0.7557963645065195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8.8730694523082992E-2"/>
                  <c:y val="-0.13118334073991778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-0.11881195495724325"/>
                  <c:y val="-0.25492878647522038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2.8627032137642193E-2"/>
                  <c:y val="-0.11063527663592961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4.7508951163089105E-2"/>
                  <c:y val="-1.8029968476162703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6.0634344721931493E-2"/>
                  <c:y val="1.7485228660027503E-2"/>
                </c:manualLayout>
              </c:layout>
              <c:dLblPos val="bestFit"/>
              <c:showVal val="1"/>
              <c:showCatNam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</c:dLbls>
          <c:cat>
            <c:strRef>
              <c:f>Лист1!$A$2:$A$5</c:f>
              <c:strCache>
                <c:ptCount val="4"/>
                <c:pt idx="0">
                  <c:v>1ккв</c:v>
                </c:pt>
                <c:pt idx="1">
                  <c:v>2ккв</c:v>
                </c:pt>
                <c:pt idx="2">
                  <c:v>3ккв</c:v>
                </c:pt>
                <c:pt idx="3">
                  <c:v>&gt;3ккв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0.30702799285288973</c:v>
                </c:pt>
                <c:pt idx="1">
                  <c:v>0.32459797498511073</c:v>
                </c:pt>
                <c:pt idx="2">
                  <c:v>0.29868969624776737</c:v>
                </c:pt>
                <c:pt idx="3">
                  <c:v>6.9684335914234785E-2</c:v>
                </c:pt>
              </c:numCache>
            </c:numRef>
          </c:val>
        </c:ser>
      </c:pie3DChart>
      <c:spPr>
        <a:noFill/>
        <a:ln w="25398">
          <a:noFill/>
        </a:ln>
      </c:spPr>
    </c:plotArea>
    <c:plotVisOnly val="1"/>
    <c:dispBlanksAs val="zero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/>
      </a:pPr>
      <a:endParaRPr lang="ru-RU"/>
    </a:p>
  </c:txPr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plotArea>
      <c:layout>
        <c:manualLayout>
          <c:layoutTarget val="inner"/>
          <c:xMode val="edge"/>
          <c:yMode val="edge"/>
          <c:x val="0.19495227615600244"/>
          <c:y val="4.2530948144567364E-2"/>
          <c:w val="0.75713131357499186"/>
          <c:h val="0.8170008878280236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1ккв</c:v>
                </c:pt>
              </c:strCache>
            </c:strRef>
          </c:tx>
          <c:marker>
            <c:symbol val="none"/>
          </c:marker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46786.525516628833</c:v>
                </c:pt>
                <c:pt idx="1">
                  <c:v>47098.323658535955</c:v>
                </c:pt>
                <c:pt idx="2">
                  <c:v>47479.399086255755</c:v>
                </c:pt>
                <c:pt idx="3">
                  <c:v>49499.460131209438</c:v>
                </c:pt>
                <c:pt idx="4">
                  <c:v>49680.379159301941</c:v>
                </c:pt>
                <c:pt idx="5">
                  <c:v>50303.701161515506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2ккв</c:v>
                </c:pt>
              </c:strCache>
            </c:strRef>
          </c:tx>
          <c:marker>
            <c:symbol val="none"/>
          </c:marker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Лист1!$C$2:$C$7</c:f>
              <c:numCache>
                <c:formatCode>#,##0.0</c:formatCode>
                <c:ptCount val="6"/>
                <c:pt idx="0">
                  <c:v>44831.112370392751</c:v>
                </c:pt>
                <c:pt idx="1">
                  <c:v>45121.513781215574</c:v>
                </c:pt>
                <c:pt idx="2">
                  <c:v>44445.528857440222</c:v>
                </c:pt>
                <c:pt idx="3">
                  <c:v>44823.612407463421</c:v>
                </c:pt>
                <c:pt idx="4">
                  <c:v>45143.354562330016</c:v>
                </c:pt>
                <c:pt idx="5">
                  <c:v>45906.981296114413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3ккв</c:v>
                </c:pt>
              </c:strCache>
            </c:strRef>
          </c:tx>
          <c:marker>
            <c:symbol val="none"/>
          </c:marker>
          <c:cat>
            <c:numRef>
              <c:f>Лист1!$A$2:$A$7</c:f>
              <c:numCache>
                <c:formatCode>[$-419]mmmm\ yyyy;@</c:formatCode>
                <c:ptCount val="6"/>
                <c:pt idx="0">
                  <c:v>41456</c:v>
                </c:pt>
                <c:pt idx="1">
                  <c:v>41487</c:v>
                </c:pt>
                <c:pt idx="2">
                  <c:v>41518</c:v>
                </c:pt>
                <c:pt idx="3">
                  <c:v>41548</c:v>
                </c:pt>
                <c:pt idx="4">
                  <c:v>41579</c:v>
                </c:pt>
                <c:pt idx="5">
                  <c:v>41609</c:v>
                </c:pt>
              </c:numCache>
            </c:numRef>
          </c:cat>
          <c:val>
            <c:numRef>
              <c:f>Лист1!$D$2:$D$7</c:f>
              <c:numCache>
                <c:formatCode>#,##0.0</c:formatCode>
                <c:ptCount val="6"/>
                <c:pt idx="0">
                  <c:v>41275.889332022613</c:v>
                </c:pt>
                <c:pt idx="1">
                  <c:v>41770.016956067302</c:v>
                </c:pt>
                <c:pt idx="2">
                  <c:v>42214.216840723595</c:v>
                </c:pt>
                <c:pt idx="3">
                  <c:v>43315.468070133807</c:v>
                </c:pt>
                <c:pt idx="4">
                  <c:v>43377.69966494447</c:v>
                </c:pt>
                <c:pt idx="5">
                  <c:v>44103.808476255297</c:v>
                </c:pt>
              </c:numCache>
            </c:numRef>
          </c:val>
        </c:ser>
        <c:marker val="1"/>
        <c:axId val="76718848"/>
        <c:axId val="80835328"/>
      </c:lineChart>
      <c:dateAx>
        <c:axId val="76718848"/>
        <c:scaling>
          <c:orientation val="minMax"/>
        </c:scaling>
        <c:axPos val="b"/>
        <c:minorGridlines/>
        <c:numFmt formatCode="mmm\ yy" sourceLinked="0"/>
        <c:tickLblPos val="nextTo"/>
        <c:crossAx val="80835328"/>
        <c:crosses val="autoZero"/>
        <c:auto val="1"/>
        <c:lblOffset val="100"/>
      </c:dateAx>
      <c:valAx>
        <c:axId val="80835328"/>
        <c:scaling>
          <c:orientation val="minMax"/>
          <c:max val="55000"/>
          <c:min val="35000"/>
        </c:scaling>
        <c:axPos val="l"/>
        <c:majorGridlines/>
        <c:numFmt formatCode="#,##0" sourceLinked="0"/>
        <c:tickLblPos val="nextTo"/>
        <c:crossAx val="76718848"/>
        <c:crosses val="autoZero"/>
        <c:crossBetween val="between"/>
        <c:majorUnit val="40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r"/>
      <c:layout>
        <c:manualLayout>
          <c:xMode val="edge"/>
          <c:yMode val="edge"/>
          <c:x val="0.71639566526576814"/>
          <c:y val="0.57780681260996358"/>
          <c:w val="0.20258345007487571"/>
          <c:h val="0.25578379625623704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txPr>
    <a:bodyPr/>
    <a:lstStyle/>
    <a:p>
      <a:pPr>
        <a:defRPr sz="999"/>
      </a:pPr>
      <a:endParaRPr lang="ru-RU"/>
    </a:p>
  </c:txPr>
  <c:externalData r:id="rId2"/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884"/>
          <c:y val="3.5452410049677092E-3"/>
          <c:w val="0.75214407756828583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&lt;30</c:v>
                </c:pt>
                <c:pt idx="1">
                  <c:v>30-35</c:v>
                </c:pt>
                <c:pt idx="2">
                  <c:v>35-40</c:v>
                </c:pt>
                <c:pt idx="3">
                  <c:v>40-45</c:v>
                </c:pt>
                <c:pt idx="4">
                  <c:v>45-50</c:v>
                </c:pt>
                <c:pt idx="5">
                  <c:v>&gt;50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6.720977596741344E-2</c:v>
                </c:pt>
                <c:pt idx="1">
                  <c:v>0.52698574338085535</c:v>
                </c:pt>
                <c:pt idx="2">
                  <c:v>0.19144602851323841</c:v>
                </c:pt>
                <c:pt idx="3">
                  <c:v>0.12321792260692464</c:v>
                </c:pt>
                <c:pt idx="4">
                  <c:v>5.9063136456211952E-2</c:v>
                </c:pt>
                <c:pt idx="5">
                  <c:v>3.2077393075356501E-2</c:v>
                </c:pt>
              </c:numCache>
            </c:numRef>
          </c:val>
        </c:ser>
        <c:axId val="67840640"/>
        <c:axId val="67854720"/>
      </c:barChart>
      <c:catAx>
        <c:axId val="67840640"/>
        <c:scaling>
          <c:orientation val="minMax"/>
        </c:scaling>
        <c:axPos val="l"/>
        <c:minorGridlines/>
        <c:numFmt formatCode="General" sourceLinked="1"/>
        <c:tickLblPos val="nextTo"/>
        <c:crossAx val="67854720"/>
        <c:crosses val="autoZero"/>
        <c:auto val="1"/>
        <c:lblAlgn val="ctr"/>
        <c:lblOffset val="100"/>
      </c:catAx>
      <c:valAx>
        <c:axId val="67854720"/>
        <c:scaling>
          <c:orientation val="minMax"/>
        </c:scaling>
        <c:axPos val="b"/>
        <c:majorGridlines/>
        <c:numFmt formatCode="0%" sourceLinked="0"/>
        <c:tickLblPos val="nextTo"/>
        <c:crossAx val="67840640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999"/>
      </a:pPr>
      <a:endParaRPr lang="ru-RU"/>
    </a:p>
  </c:txPr>
  <c:externalData r:id="rId2"/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895"/>
          <c:y val="3.5452410049677092E-3"/>
          <c:w val="0.75214407756828627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&lt;40</c:v>
                </c:pt>
                <c:pt idx="1">
                  <c:v>40-50</c:v>
                </c:pt>
                <c:pt idx="2">
                  <c:v>50-60</c:v>
                </c:pt>
                <c:pt idx="3">
                  <c:v>60-70</c:v>
                </c:pt>
                <c:pt idx="4">
                  <c:v>70-80</c:v>
                </c:pt>
                <c:pt idx="5">
                  <c:v>&gt;80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6.0798548094373864E-2</c:v>
                </c:pt>
                <c:pt idx="1">
                  <c:v>0.5058983666061716</c:v>
                </c:pt>
                <c:pt idx="2">
                  <c:v>0.2867513611615245</c:v>
                </c:pt>
                <c:pt idx="3">
                  <c:v>6.7604355716878409E-2</c:v>
                </c:pt>
                <c:pt idx="4">
                  <c:v>5.1724137931034524E-2</c:v>
                </c:pt>
                <c:pt idx="5">
                  <c:v>2.7223230490018197E-2</c:v>
                </c:pt>
              </c:numCache>
            </c:numRef>
          </c:val>
        </c:ser>
        <c:axId val="67816832"/>
        <c:axId val="67867776"/>
      </c:barChart>
      <c:catAx>
        <c:axId val="67816832"/>
        <c:scaling>
          <c:orientation val="minMax"/>
        </c:scaling>
        <c:axPos val="l"/>
        <c:minorGridlines/>
        <c:numFmt formatCode="General" sourceLinked="1"/>
        <c:tickLblPos val="nextTo"/>
        <c:crossAx val="67867776"/>
        <c:crosses val="autoZero"/>
        <c:auto val="1"/>
        <c:lblAlgn val="ctr"/>
        <c:lblOffset val="100"/>
      </c:catAx>
      <c:valAx>
        <c:axId val="67867776"/>
        <c:scaling>
          <c:orientation val="minMax"/>
        </c:scaling>
        <c:axPos val="b"/>
        <c:majorGridlines/>
        <c:numFmt formatCode="0%" sourceLinked="0"/>
        <c:tickLblPos val="nextTo"/>
        <c:crossAx val="67816832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999"/>
      </a:pPr>
      <a:endParaRPr lang="ru-RU"/>
    </a:p>
  </c:txPr>
  <c:externalData r:id="rId2"/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895"/>
          <c:y val="3.5452410049677092E-3"/>
          <c:w val="0.75214407756828627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&lt;50</c:v>
                </c:pt>
                <c:pt idx="1">
                  <c:v>50-65</c:v>
                </c:pt>
                <c:pt idx="2">
                  <c:v>65-80</c:v>
                </c:pt>
                <c:pt idx="3">
                  <c:v>80-95</c:v>
                </c:pt>
                <c:pt idx="4">
                  <c:v>95-110</c:v>
                </c:pt>
                <c:pt idx="5">
                  <c:v>&gt;110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5.8881256133464181E-3</c:v>
                </c:pt>
                <c:pt idx="1">
                  <c:v>0.35426889106967707</c:v>
                </c:pt>
                <c:pt idx="2">
                  <c:v>0.40284592737978464</c:v>
                </c:pt>
                <c:pt idx="3">
                  <c:v>9.4210009813542717E-2</c:v>
                </c:pt>
                <c:pt idx="4">
                  <c:v>5.1521099116781162E-2</c:v>
                </c:pt>
                <c:pt idx="5">
                  <c:v>9.126594700686963E-2</c:v>
                </c:pt>
              </c:numCache>
            </c:numRef>
          </c:val>
        </c:ser>
        <c:axId val="76333440"/>
        <c:axId val="76334976"/>
      </c:barChart>
      <c:catAx>
        <c:axId val="76333440"/>
        <c:scaling>
          <c:orientation val="minMax"/>
        </c:scaling>
        <c:axPos val="l"/>
        <c:minorGridlines/>
        <c:numFmt formatCode="General" sourceLinked="1"/>
        <c:tickLblPos val="nextTo"/>
        <c:crossAx val="76334976"/>
        <c:crosses val="autoZero"/>
        <c:auto val="1"/>
        <c:lblAlgn val="ctr"/>
        <c:lblOffset val="100"/>
      </c:catAx>
      <c:valAx>
        <c:axId val="76334976"/>
        <c:scaling>
          <c:orientation val="minMax"/>
        </c:scaling>
        <c:axPos val="b"/>
        <c:majorGridlines/>
        <c:numFmt formatCode="0%" sourceLinked="0"/>
        <c:tickLblPos val="nextTo"/>
        <c:crossAx val="76333440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2"/>
      </a:pPr>
      <a:endParaRPr lang="ru-RU"/>
    </a:p>
  </c:txPr>
  <c:externalData r:id="rId2"/>
  <c:userShapes r:id="rId3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10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drawings/_rels/drawing1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1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13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14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15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16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_rels/drawing17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drawings/_rels/drawing18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drawings/_rels/drawing19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20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drawing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4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5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6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_rels/drawing7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drawings/_rels/drawing8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drawings/_rels/drawing9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0.16284</cdr:x>
      <cdr:y>0.00037</cdr:y>
    </cdr:from>
    <cdr:to>
      <cdr:x>0.36523</cdr:x>
      <cdr:y>0.11982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04350" y="666"/>
          <a:ext cx="626836" cy="21503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0.73932</cdr:x>
      <cdr:y>0</cdr:y>
    </cdr:from>
    <cdr:to>
      <cdr:x>0.93646</cdr:x>
      <cdr:y>0.11538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8272" y="-72008"/>
          <a:ext cx="652834" cy="2160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0.16284</cdr:x>
      <cdr:y>0.00037</cdr:y>
    </cdr:from>
    <cdr:to>
      <cdr:x>0.37209</cdr:x>
      <cdr:y>0.12387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04351" y="666"/>
          <a:ext cx="648076" cy="2223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0.77767</cdr:x>
      <cdr:y>0</cdr:y>
    </cdr:from>
    <cdr:to>
      <cdr:x>0.97752</cdr:x>
      <cdr:y>0.12181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519709" y="-72355"/>
          <a:ext cx="647531" cy="21928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0.74961</cdr:x>
      <cdr:y>0</cdr:y>
    </cdr:from>
    <cdr:to>
      <cdr:x>0.94608</cdr:x>
      <cdr:y>0.11438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375247" y="0"/>
          <a:ext cx="622549" cy="21427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3.38849E-7</cdr:x>
      <cdr:y>0</cdr:y>
    </cdr:from>
    <cdr:to>
      <cdr:x>0.21936</cdr:x>
      <cdr:y>0.12167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" y="0"/>
          <a:ext cx="647352" cy="21895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0.62522</cdr:x>
      <cdr:y>0.85744</cdr:y>
    </cdr:from>
    <cdr:to>
      <cdr:x>1</cdr:x>
      <cdr:y>1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799481" y="1583829"/>
          <a:ext cx="1078657" cy="24622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>
          <a:spAutoFit/>
        </a:bodyPr>
        <a:lstStyle xmlns:a="http://schemas.openxmlformats.org/drawingml/2006/main">
          <a:defPPr>
            <a:defRPr lang="en-US"/>
          </a:defPPr>
          <a:lvl1pPr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1pPr>
          <a:lvl2pPr marL="4572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2pPr>
          <a:lvl3pPr marL="9144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3pPr>
          <a:lvl4pPr marL="13716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4pPr>
          <a:lvl5pPr marL="18288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5pPr>
          <a:lvl6pPr marL="22860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6pPr>
          <a:lvl7pPr marL="27432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7pPr>
          <a:lvl8pPr marL="32004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8pPr>
          <a:lvl9pPr marL="36576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9pPr>
        </a:lstStyle>
        <a:p xmlns:a="http://schemas.openxmlformats.org/drawingml/2006/main">
          <a:pPr algn="r">
            <a:defRPr/>
          </a:pPr>
          <a:r>
            <a:rPr lang="ru-RU" sz="1000" b="1" dirty="0" smtClean="0">
              <a:latin typeface="Calibri" pitchFamily="34" charset="0"/>
              <a:cs typeface="Times New Roman" pitchFamily="18" charset="0"/>
            </a:rPr>
            <a:t>Июль 2013 года</a:t>
          </a:r>
          <a:endParaRPr lang="ru-RU" sz="1000" b="1" dirty="0">
            <a:latin typeface="Calibri" pitchFamily="34" charset="0"/>
            <a:cs typeface="Times New Roman" pitchFamily="18" charset="0"/>
          </a:endParaRPr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3.30667E-7</cdr:x>
      <cdr:y>1.11132E-6</cdr:y>
    </cdr:from>
    <cdr:to>
      <cdr:x>0.2038</cdr:x>
      <cdr:y>0.11973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" y="2"/>
          <a:ext cx="616318" cy="2154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0.51247</cdr:x>
      <cdr:y>0.85744</cdr:y>
    </cdr:from>
    <cdr:to>
      <cdr:x>1</cdr:x>
      <cdr:y>1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13185" y="1583829"/>
          <a:ext cx="1439565" cy="24622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>
          <a:spAutoFit/>
        </a:bodyPr>
        <a:lstStyle xmlns:a="http://schemas.openxmlformats.org/drawingml/2006/main">
          <a:lvl1pPr marL="0" indent="0">
            <a:defRPr sz="1100">
              <a:latin typeface="Arial"/>
            </a:defRPr>
          </a:lvl1pPr>
          <a:lvl2pPr marL="457200" indent="0">
            <a:defRPr sz="1100">
              <a:latin typeface="Arial"/>
            </a:defRPr>
          </a:lvl2pPr>
          <a:lvl3pPr marL="914400" indent="0">
            <a:defRPr sz="1100">
              <a:latin typeface="Arial"/>
            </a:defRPr>
          </a:lvl3pPr>
          <a:lvl4pPr marL="1371600" indent="0">
            <a:defRPr sz="1100">
              <a:latin typeface="Arial"/>
            </a:defRPr>
          </a:lvl4pPr>
          <a:lvl5pPr marL="1828800" indent="0">
            <a:defRPr sz="1100">
              <a:latin typeface="Arial"/>
            </a:defRPr>
          </a:lvl5pPr>
          <a:lvl6pPr marL="2286000" indent="0">
            <a:defRPr sz="1100">
              <a:latin typeface="Arial"/>
            </a:defRPr>
          </a:lvl6pPr>
          <a:lvl7pPr marL="2743200" indent="0">
            <a:defRPr sz="1100">
              <a:latin typeface="Arial"/>
            </a:defRPr>
          </a:lvl7pPr>
          <a:lvl8pPr marL="3200400" indent="0">
            <a:defRPr sz="1100">
              <a:latin typeface="Arial"/>
            </a:defRPr>
          </a:lvl8pPr>
          <a:lvl9pPr marL="3657600" indent="0">
            <a:defRPr sz="1100">
              <a:latin typeface="Arial"/>
            </a:defRPr>
          </a:lvl9pPr>
        </a:lstStyle>
        <a:p xmlns:a="http://schemas.openxmlformats.org/drawingml/2006/main">
          <a:pPr algn="r">
            <a:defRPr/>
          </a:pPr>
          <a:r>
            <a:rPr lang="ru-RU" sz="1000" b="1" dirty="0" smtClean="0">
              <a:latin typeface="Calibri" pitchFamily="34" charset="0"/>
              <a:cs typeface="Times New Roman" pitchFamily="18" charset="0"/>
            </a:rPr>
            <a:t>Декабрь 2013 года</a:t>
          </a:r>
          <a:endParaRPr lang="ru-RU" sz="1000" b="1" dirty="0">
            <a:latin typeface="Calibri" pitchFamily="34" charset="0"/>
            <a:cs typeface="Times New Roman" pitchFamily="18" charset="0"/>
          </a:endParaRP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0.16731</cdr:x>
      <cdr:y>5.78639E-7</cdr:y>
    </cdr:from>
    <cdr:to>
      <cdr:x>0.37676</cdr:x>
      <cdr:y>0.125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18049" y="1"/>
          <a:ext cx="648545" cy="2160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0.73891</cdr:x>
      <cdr:y>0</cdr:y>
    </cdr:from>
    <cdr:to>
      <cdr:x>0.93646</cdr:x>
      <cdr:y>0.11562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6934" y="0"/>
          <a:ext cx="654177" cy="216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0.73891</cdr:x>
      <cdr:y>0</cdr:y>
    </cdr:from>
    <cdr:to>
      <cdr:x>0.93646</cdr:x>
      <cdr:y>0.11562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6935" y="0"/>
          <a:ext cx="654176" cy="216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0.73932</cdr:x>
      <cdr:y>0</cdr:y>
    </cdr:from>
    <cdr:to>
      <cdr:x>0.93502</cdr:x>
      <cdr:y>0.11454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8272" y="0"/>
          <a:ext cx="648072" cy="2144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0.78094</cdr:x>
      <cdr:y>5.55486E-7</cdr:y>
    </cdr:from>
    <cdr:to>
      <cdr:x>0.97752</cdr:x>
      <cdr:y>0.11982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530298" y="1"/>
          <a:ext cx="636952" cy="2157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0.73825</cdr:x>
      <cdr:y>0</cdr:y>
    </cdr:from>
    <cdr:to>
      <cdr:x>0.93646</cdr:x>
      <cdr:y>0.11601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4721" y="0"/>
          <a:ext cx="656390" cy="21731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0.74961</cdr:x>
      <cdr:y>0</cdr:y>
    </cdr:from>
    <cdr:to>
      <cdr:x>0.94608</cdr:x>
      <cdr:y>0.11438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375247" y="0"/>
          <a:ext cx="622549" cy="21427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3.38849E-7</cdr:x>
      <cdr:y>0</cdr:y>
    </cdr:from>
    <cdr:to>
      <cdr:x>0.21936</cdr:x>
      <cdr:y>0.12167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" y="0"/>
          <a:ext cx="647352" cy="21895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0.61568</cdr:x>
      <cdr:y>0.85744</cdr:y>
    </cdr:from>
    <cdr:to>
      <cdr:x>1</cdr:x>
      <cdr:y>1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00051" y="1655837"/>
          <a:ext cx="1078657" cy="24622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>
          <a:spAutoFit/>
        </a:bodyPr>
        <a:lstStyle xmlns:a="http://schemas.openxmlformats.org/drawingml/2006/main">
          <a:defPPr>
            <a:defRPr lang="en-US"/>
          </a:defPPr>
          <a:lvl1pPr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1pPr>
          <a:lvl2pPr marL="4572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2pPr>
          <a:lvl3pPr marL="9144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3pPr>
          <a:lvl4pPr marL="13716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4pPr>
          <a:lvl5pPr marL="18288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5pPr>
          <a:lvl6pPr marL="22860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6pPr>
          <a:lvl7pPr marL="27432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7pPr>
          <a:lvl8pPr marL="32004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8pPr>
          <a:lvl9pPr marL="36576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9pPr>
        </a:lstStyle>
        <a:p xmlns:a="http://schemas.openxmlformats.org/drawingml/2006/main">
          <a:pPr algn="r">
            <a:defRPr/>
          </a:pPr>
          <a:r>
            <a:rPr lang="ru-RU" sz="1000" b="1" dirty="0" smtClean="0">
              <a:latin typeface="Calibri" pitchFamily="34" charset="0"/>
              <a:cs typeface="Times New Roman" pitchFamily="18" charset="0"/>
            </a:rPr>
            <a:t>Июль 2013 года</a:t>
          </a:r>
          <a:endParaRPr lang="ru-RU" sz="1000" b="1" dirty="0">
            <a:latin typeface="Calibri" pitchFamily="34" charset="0"/>
            <a:cs typeface="Times New Roman" pitchFamily="18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3.30573E-7</cdr:x>
      <cdr:y>1.15728E-6</cdr:y>
    </cdr:from>
    <cdr:to>
      <cdr:x>0.21277</cdr:x>
      <cdr:y>0.125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" y="2"/>
          <a:ext cx="643640" cy="21602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0.51247</cdr:x>
      <cdr:y>0.85744</cdr:y>
    </cdr:from>
    <cdr:to>
      <cdr:x>1</cdr:x>
      <cdr:y>1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13185" y="1583829"/>
          <a:ext cx="1439565" cy="24622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>
          <a:spAutoFit/>
        </a:bodyPr>
        <a:lstStyle xmlns:a="http://schemas.openxmlformats.org/drawingml/2006/main">
          <a:lvl1pPr marL="0" indent="0">
            <a:defRPr sz="1100">
              <a:latin typeface="Arial"/>
            </a:defRPr>
          </a:lvl1pPr>
          <a:lvl2pPr marL="457200" indent="0">
            <a:defRPr sz="1100">
              <a:latin typeface="Arial"/>
            </a:defRPr>
          </a:lvl2pPr>
          <a:lvl3pPr marL="914400" indent="0">
            <a:defRPr sz="1100">
              <a:latin typeface="Arial"/>
            </a:defRPr>
          </a:lvl3pPr>
          <a:lvl4pPr marL="1371600" indent="0">
            <a:defRPr sz="1100">
              <a:latin typeface="Arial"/>
            </a:defRPr>
          </a:lvl4pPr>
          <a:lvl5pPr marL="1828800" indent="0">
            <a:defRPr sz="1100">
              <a:latin typeface="Arial"/>
            </a:defRPr>
          </a:lvl5pPr>
          <a:lvl6pPr marL="2286000" indent="0">
            <a:defRPr sz="1100">
              <a:latin typeface="Arial"/>
            </a:defRPr>
          </a:lvl6pPr>
          <a:lvl7pPr marL="2743200" indent="0">
            <a:defRPr sz="1100">
              <a:latin typeface="Arial"/>
            </a:defRPr>
          </a:lvl7pPr>
          <a:lvl8pPr marL="3200400" indent="0">
            <a:defRPr sz="1100">
              <a:latin typeface="Arial"/>
            </a:defRPr>
          </a:lvl8pPr>
          <a:lvl9pPr marL="3657600" indent="0">
            <a:defRPr sz="1100">
              <a:latin typeface="Arial"/>
            </a:defRPr>
          </a:lvl9pPr>
        </a:lstStyle>
        <a:p xmlns:a="http://schemas.openxmlformats.org/drawingml/2006/main">
          <a:pPr algn="r">
            <a:defRPr/>
          </a:pPr>
          <a:r>
            <a:rPr lang="ru-RU" sz="1000" b="1" dirty="0" smtClean="0">
              <a:latin typeface="Calibri" pitchFamily="34" charset="0"/>
              <a:cs typeface="Times New Roman" pitchFamily="18" charset="0"/>
            </a:rPr>
            <a:t>Декабрь 2013 года</a:t>
          </a:r>
          <a:endParaRPr lang="ru-RU" sz="1000" b="1" dirty="0">
            <a:latin typeface="Calibri" pitchFamily="34" charset="0"/>
            <a:cs typeface="Times New Roman" pitchFamily="18" charset="0"/>
          </a:endParaRP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0.16731</cdr:x>
      <cdr:y>5.78639E-7</cdr:y>
    </cdr:from>
    <cdr:to>
      <cdr:x>0.37676</cdr:x>
      <cdr:y>0.125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18049" y="1"/>
          <a:ext cx="648545" cy="2160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0.73932</cdr:x>
      <cdr:y>0</cdr:y>
    </cdr:from>
    <cdr:to>
      <cdr:x>0.93646</cdr:x>
      <cdr:y>0.11538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8272" y="0"/>
          <a:ext cx="652834" cy="2160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0.73932</cdr:x>
      <cdr:y>0</cdr:y>
    </cdr:from>
    <cdr:to>
      <cdr:x>0.93646</cdr:x>
      <cdr:y>0.11538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8272" y="0"/>
          <a:ext cx="652834" cy="2160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0.73932</cdr:x>
      <cdr:y>0</cdr:y>
    </cdr:from>
    <cdr:to>
      <cdr:x>0.93502</cdr:x>
      <cdr:y>0.11454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8272" y="0"/>
          <a:ext cx="648072" cy="2144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Бюллетень Недвижимости, ООО</Company>
  <LinksUpToDate>false</LinksUpToDate>
  <CharactersWithSpaces>6290</CharactersWithSpaces>
  <SharedDoc>false</SharedDoc>
  <HLinks>
    <vt:vector size="6" baseType="variant">
      <vt:variant>
        <vt:i4>3801099</vt:i4>
      </vt:variant>
      <vt:variant>
        <vt:i4>0</vt:i4>
      </vt:variant>
      <vt:variant>
        <vt:i4>0</vt:i4>
      </vt:variant>
      <vt:variant>
        <vt:i4>5</vt:i4>
      </vt:variant>
      <vt:variant>
        <vt:lpwstr>mailto:analitika@bn.ru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mbent</cp:lastModifiedBy>
  <cp:revision>6</cp:revision>
  <dcterms:created xsi:type="dcterms:W3CDTF">2014-01-10T08:00:00Z</dcterms:created>
  <dcterms:modified xsi:type="dcterms:W3CDTF">2014-01-10T09:20:00Z</dcterms:modified>
</cp:coreProperties>
</file>