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B" w:rsidRDefault="004C40EB" w:rsidP="00662C23">
      <w:pPr>
        <w:ind w:left="-709"/>
        <w:jc w:val="center"/>
        <w:rPr>
          <w:rFonts w:ascii="Arial" w:hAnsi="Arial" w:cs="Arial"/>
          <w:b/>
        </w:rPr>
      </w:pPr>
    </w:p>
    <w:p w:rsidR="00662C23" w:rsidRDefault="00DC3533" w:rsidP="00DC3533">
      <w:pPr>
        <w:tabs>
          <w:tab w:val="center" w:pos="4464"/>
          <w:tab w:val="right" w:pos="9638"/>
        </w:tabs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C40EB">
        <w:rPr>
          <w:rFonts w:ascii="Arial" w:hAnsi="Arial" w:cs="Arial"/>
          <w:b/>
        </w:rPr>
        <w:t>ОБЗОР ВТОРИЧНОГО РЫНКА ЖИ</w:t>
      </w:r>
      <w:r w:rsidR="0068272F">
        <w:rPr>
          <w:rFonts w:ascii="Arial" w:hAnsi="Arial" w:cs="Arial"/>
          <w:b/>
        </w:rPr>
        <w:t>ЛОЙ НЕДВИЖИМОСТИ Г.ТОБОЛЬСК. АВГУСТ</w:t>
      </w:r>
      <w:r w:rsidR="004C40EB">
        <w:rPr>
          <w:rFonts w:ascii="Arial" w:hAnsi="Arial" w:cs="Arial"/>
          <w:b/>
        </w:rPr>
        <w:t xml:space="preserve"> 2014Г.</w:t>
      </w:r>
      <w:r w:rsidR="004C40EB" w:rsidRPr="00563062">
        <w:rPr>
          <w:rStyle w:val="ae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ab/>
      </w:r>
    </w:p>
    <w:p w:rsidR="003E6EC5" w:rsidRDefault="003E6EC5" w:rsidP="00DC3533">
      <w:pPr>
        <w:ind w:left="-1134" w:righ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E2FB8">
        <w:rPr>
          <w:rFonts w:ascii="Arial" w:hAnsi="Arial" w:cs="Arial"/>
          <w:b/>
          <w:noProof/>
        </w:rPr>
        <w:drawing>
          <wp:inline distT="0" distB="0" distL="0" distR="0">
            <wp:extent cx="7604908" cy="4821382"/>
            <wp:effectExtent l="19050" t="0" r="0" b="0"/>
            <wp:docPr id="35" name="Рисунок 34" descr="ZuI-EbqFLz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I-EbqFLzM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376" cy="482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3C" w:rsidRDefault="00B8033C" w:rsidP="00F30694">
      <w:pPr>
        <w:ind w:firstLine="709"/>
        <w:rPr>
          <w:rFonts w:ascii="Arial" w:hAnsi="Arial" w:cs="Arial"/>
          <w:b/>
        </w:rPr>
      </w:pPr>
    </w:p>
    <w:p w:rsidR="003F309D" w:rsidRDefault="00A31A8D" w:rsidP="00F30694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ВЫВОДЫ</w:t>
      </w:r>
      <w:r w:rsidR="00283307">
        <w:rPr>
          <w:rFonts w:ascii="Arial" w:hAnsi="Arial" w:cs="Arial"/>
          <w:b/>
        </w:rPr>
        <w:t>:</w:t>
      </w:r>
    </w:p>
    <w:p w:rsidR="00731DF2" w:rsidRDefault="00731DF2" w:rsidP="00F54B61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Активность продавцов на рынке вторичного жилья выросла на 8%, по сравнению с июлем 2014г., в то время как активность покупателей выросла, но не</w:t>
      </w:r>
      <w:r w:rsidR="00DA3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значительно, на 1% по сравнению с предыдущим месяцем;</w:t>
      </w:r>
    </w:p>
    <w:p w:rsidR="00D65EB6" w:rsidRPr="00731DF2" w:rsidRDefault="00731DF2" w:rsidP="00F54B61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731DF2">
        <w:rPr>
          <w:rFonts w:ascii="Arial" w:hAnsi="Arial" w:cs="Arial"/>
        </w:rPr>
        <w:t>Удельная цена предложения в августе 2014г. составила 50431 руб./кв.м., что на 0,92</w:t>
      </w:r>
      <w:r w:rsidR="00D65EB6" w:rsidRPr="00731DF2">
        <w:rPr>
          <w:rFonts w:ascii="Arial" w:hAnsi="Arial" w:cs="Arial"/>
        </w:rPr>
        <w:t>% ниже, чем в предыдущем месяце;</w:t>
      </w:r>
    </w:p>
    <w:p w:rsidR="00845957" w:rsidRPr="00731DF2" w:rsidRDefault="00845957" w:rsidP="00F54B61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731DF2">
        <w:rPr>
          <w:rFonts w:ascii="Arial" w:hAnsi="Arial" w:cs="Arial"/>
        </w:rPr>
        <w:t>Наибольшим спросом пользовались 1-</w:t>
      </w:r>
      <w:r w:rsidR="00EC05E3" w:rsidRPr="00731DF2">
        <w:rPr>
          <w:rFonts w:ascii="Arial" w:hAnsi="Arial" w:cs="Arial"/>
        </w:rPr>
        <w:t xml:space="preserve"> и 2-</w:t>
      </w:r>
      <w:r w:rsidRPr="00731DF2">
        <w:rPr>
          <w:rFonts w:ascii="Arial" w:hAnsi="Arial" w:cs="Arial"/>
        </w:rPr>
        <w:t>комнатные кварти</w:t>
      </w:r>
      <w:r w:rsidR="00EC05E3" w:rsidRPr="00731DF2">
        <w:rPr>
          <w:rFonts w:ascii="Arial" w:hAnsi="Arial" w:cs="Arial"/>
        </w:rPr>
        <w:t>ры</w:t>
      </w:r>
      <w:r w:rsidRPr="00731DF2">
        <w:rPr>
          <w:rFonts w:ascii="Arial" w:hAnsi="Arial" w:cs="Arial"/>
        </w:rPr>
        <w:t>;</w:t>
      </w:r>
    </w:p>
    <w:p w:rsidR="004B5F71" w:rsidRPr="00731DF2" w:rsidRDefault="00731DF2" w:rsidP="00F54B61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731DF2">
        <w:rPr>
          <w:rFonts w:ascii="Arial" w:hAnsi="Arial" w:cs="Arial"/>
        </w:rPr>
        <w:t>Удельная цена продаж в августе</w:t>
      </w:r>
      <w:r w:rsidR="00A31A8D" w:rsidRPr="00731DF2">
        <w:rPr>
          <w:rFonts w:ascii="Arial" w:hAnsi="Arial" w:cs="Arial"/>
        </w:rPr>
        <w:t xml:space="preserve"> 2</w:t>
      </w:r>
      <w:r w:rsidR="004964DA" w:rsidRPr="00731DF2">
        <w:rPr>
          <w:rFonts w:ascii="Arial" w:hAnsi="Arial" w:cs="Arial"/>
        </w:rPr>
        <w:t xml:space="preserve">014 г. сложилась на уровне </w:t>
      </w:r>
      <w:r w:rsidRPr="00731DF2">
        <w:rPr>
          <w:rFonts w:ascii="Arial" w:hAnsi="Arial" w:cs="Arial"/>
        </w:rPr>
        <w:t>48762</w:t>
      </w:r>
      <w:r w:rsidR="00A31A8D" w:rsidRPr="00731DF2">
        <w:rPr>
          <w:rFonts w:ascii="Arial" w:hAnsi="Arial" w:cs="Arial"/>
        </w:rPr>
        <w:t xml:space="preserve"> </w:t>
      </w:r>
      <w:r w:rsidR="00932572" w:rsidRPr="00731DF2">
        <w:rPr>
          <w:rFonts w:ascii="Arial" w:hAnsi="Arial" w:cs="Arial"/>
        </w:rPr>
        <w:t>руб./кв.м. при средней площади</w:t>
      </w:r>
      <w:r w:rsidR="004964DA" w:rsidRPr="00731DF2">
        <w:rPr>
          <w:rFonts w:ascii="Arial" w:hAnsi="Arial" w:cs="Arial"/>
        </w:rPr>
        <w:t xml:space="preserve"> проданных квартир – </w:t>
      </w:r>
      <w:r w:rsidRPr="00731DF2">
        <w:rPr>
          <w:rFonts w:ascii="Arial" w:hAnsi="Arial" w:cs="Arial"/>
        </w:rPr>
        <w:t>47,13</w:t>
      </w:r>
      <w:r w:rsidR="00A31A8D" w:rsidRPr="00731DF2">
        <w:rPr>
          <w:rFonts w:ascii="Arial" w:hAnsi="Arial" w:cs="Arial"/>
        </w:rPr>
        <w:t xml:space="preserve"> кв.м.</w:t>
      </w:r>
      <w:r w:rsidR="004B5F71" w:rsidRPr="00731DF2">
        <w:rPr>
          <w:rFonts w:ascii="Arial" w:hAnsi="Arial" w:cs="Arial"/>
        </w:rPr>
        <w:t>;</w:t>
      </w:r>
    </w:p>
    <w:p w:rsidR="00932572" w:rsidRPr="00731DF2" w:rsidRDefault="00A31A8D" w:rsidP="00932572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731DF2">
        <w:rPr>
          <w:rFonts w:ascii="Arial" w:hAnsi="Arial" w:cs="Arial"/>
        </w:rPr>
        <w:t>Средня</w:t>
      </w:r>
      <w:r w:rsidR="00EC05E3" w:rsidRPr="00731DF2">
        <w:rPr>
          <w:rFonts w:ascii="Arial" w:hAnsi="Arial" w:cs="Arial"/>
        </w:rPr>
        <w:t>я величина торга состави</w:t>
      </w:r>
      <w:r w:rsidR="008D6794" w:rsidRPr="00731DF2">
        <w:rPr>
          <w:rFonts w:ascii="Arial" w:hAnsi="Arial" w:cs="Arial"/>
        </w:rPr>
        <w:t xml:space="preserve">ла – </w:t>
      </w:r>
      <w:r w:rsidR="00731DF2" w:rsidRPr="00731DF2">
        <w:rPr>
          <w:rFonts w:ascii="Arial" w:hAnsi="Arial" w:cs="Arial"/>
        </w:rPr>
        <w:t>2,67</w:t>
      </w:r>
      <w:r w:rsidRPr="00731DF2">
        <w:rPr>
          <w:rFonts w:ascii="Arial" w:hAnsi="Arial" w:cs="Arial"/>
        </w:rPr>
        <w:t>%</w:t>
      </w:r>
      <w:r w:rsidR="00231C51" w:rsidRPr="00731DF2">
        <w:rPr>
          <w:rFonts w:ascii="Arial" w:hAnsi="Arial" w:cs="Arial"/>
        </w:rPr>
        <w:t>.</w:t>
      </w:r>
    </w:p>
    <w:p w:rsidR="00822726" w:rsidRDefault="00822726" w:rsidP="00932572">
      <w:pPr>
        <w:rPr>
          <w:rFonts w:ascii="Arial" w:hAnsi="Arial" w:cs="Arial"/>
          <w:b/>
        </w:rPr>
      </w:pPr>
    </w:p>
    <w:p w:rsidR="00B50A80" w:rsidRDefault="00B50A80" w:rsidP="001C32F9">
      <w:pPr>
        <w:jc w:val="center"/>
        <w:rPr>
          <w:rFonts w:ascii="Arial" w:hAnsi="Arial" w:cs="Arial"/>
          <w:b/>
        </w:rPr>
      </w:pPr>
    </w:p>
    <w:p w:rsidR="00785BA5" w:rsidRPr="003E6EC5" w:rsidRDefault="00785BA5" w:rsidP="001C32F9">
      <w:pPr>
        <w:jc w:val="center"/>
        <w:rPr>
          <w:rFonts w:ascii="Arial" w:hAnsi="Arial" w:cs="Arial"/>
          <w:b/>
        </w:rPr>
      </w:pPr>
      <w:r w:rsidRPr="003E6EC5">
        <w:rPr>
          <w:rFonts w:ascii="Arial" w:hAnsi="Arial" w:cs="Arial"/>
          <w:b/>
        </w:rPr>
        <w:t>АНАЛИЗ СТРУКТУРЫ ПРЕДЛ</w:t>
      </w:r>
      <w:r w:rsidR="001C32F9">
        <w:rPr>
          <w:rFonts w:ascii="Arial" w:hAnsi="Arial" w:cs="Arial"/>
          <w:b/>
        </w:rPr>
        <w:t>ОЖЕНИЯ НА ВТОРИЧНОМ РЫНКЕ</w:t>
      </w:r>
      <w:r w:rsidRPr="003E6EC5">
        <w:rPr>
          <w:rFonts w:ascii="Arial" w:hAnsi="Arial" w:cs="Arial"/>
          <w:b/>
        </w:rPr>
        <w:t xml:space="preserve"> Г.</w:t>
      </w:r>
      <w:r w:rsidR="00100971">
        <w:rPr>
          <w:rFonts w:ascii="Arial" w:hAnsi="Arial" w:cs="Arial"/>
          <w:b/>
        </w:rPr>
        <w:t>ТОБОЛЬСК</w:t>
      </w:r>
      <w:r w:rsidR="0068272F">
        <w:rPr>
          <w:rFonts w:ascii="Arial" w:hAnsi="Arial" w:cs="Arial"/>
          <w:b/>
        </w:rPr>
        <w:t xml:space="preserve"> ЗА АВГУСТ</w:t>
      </w:r>
      <w:r w:rsidR="001C32F9">
        <w:rPr>
          <w:rFonts w:ascii="Arial" w:hAnsi="Arial" w:cs="Arial"/>
          <w:b/>
        </w:rPr>
        <w:t xml:space="preserve"> 2014Г.</w:t>
      </w:r>
    </w:p>
    <w:p w:rsidR="0012352F" w:rsidRPr="00932572" w:rsidRDefault="00845957" w:rsidP="006827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32572">
        <w:rPr>
          <w:rFonts w:ascii="Arial" w:hAnsi="Arial" w:cs="Arial"/>
        </w:rPr>
        <w:t>Объем предложения на вторичном рынк</w:t>
      </w:r>
      <w:r w:rsidR="0068272F">
        <w:rPr>
          <w:rFonts w:ascii="Arial" w:hAnsi="Arial" w:cs="Arial"/>
        </w:rPr>
        <w:t>е жилой недвижимости в августе</w:t>
      </w:r>
      <w:r w:rsidR="00AA0F60" w:rsidRPr="00932572">
        <w:rPr>
          <w:rFonts w:ascii="Arial" w:hAnsi="Arial" w:cs="Arial"/>
        </w:rPr>
        <w:t xml:space="preserve"> 2014</w:t>
      </w:r>
      <w:r w:rsidRPr="00932572">
        <w:rPr>
          <w:rFonts w:ascii="Arial" w:hAnsi="Arial" w:cs="Arial"/>
        </w:rPr>
        <w:t xml:space="preserve">г. </w:t>
      </w:r>
      <w:r w:rsidR="0068272F">
        <w:rPr>
          <w:rFonts w:ascii="Arial" w:hAnsi="Arial" w:cs="Arial"/>
        </w:rPr>
        <w:t>составил более 1550</w:t>
      </w:r>
      <w:r w:rsidR="00662C23">
        <w:rPr>
          <w:rFonts w:ascii="Arial" w:hAnsi="Arial" w:cs="Arial"/>
        </w:rPr>
        <w:t xml:space="preserve"> квартир</w:t>
      </w:r>
      <w:r w:rsidR="00AA0F60" w:rsidRPr="00932572">
        <w:rPr>
          <w:rFonts w:ascii="Arial" w:hAnsi="Arial" w:cs="Arial"/>
        </w:rPr>
        <w:t xml:space="preserve"> (исключая квартиры, находящиеся за чертой города, малогабаритные квартиры, а </w:t>
      </w:r>
      <w:proofErr w:type="gramStart"/>
      <w:r w:rsidR="00AA0F60" w:rsidRPr="00932572">
        <w:rPr>
          <w:rFonts w:ascii="Arial" w:hAnsi="Arial" w:cs="Arial"/>
        </w:rPr>
        <w:t>также малоэтажн</w:t>
      </w:r>
      <w:r w:rsidR="0068272F">
        <w:rPr>
          <w:rFonts w:ascii="Arial" w:hAnsi="Arial" w:cs="Arial"/>
        </w:rPr>
        <w:t>ое</w:t>
      </w:r>
      <w:proofErr w:type="gramEnd"/>
      <w:r w:rsidR="0068272F">
        <w:rPr>
          <w:rFonts w:ascii="Arial" w:hAnsi="Arial" w:cs="Arial"/>
        </w:rPr>
        <w:t xml:space="preserve"> строительство). Прирост в августе</w:t>
      </w:r>
      <w:r w:rsidR="00AA0F60" w:rsidRPr="00932572">
        <w:rPr>
          <w:rFonts w:ascii="Arial" w:hAnsi="Arial" w:cs="Arial"/>
        </w:rPr>
        <w:t xml:space="preserve"> 2014 г. по сравнению с п</w:t>
      </w:r>
      <w:r w:rsidR="00662C23">
        <w:rPr>
          <w:rFonts w:ascii="Arial" w:hAnsi="Arial" w:cs="Arial"/>
        </w:rPr>
        <w:t xml:space="preserve">редыдущим месяцем </w:t>
      </w:r>
      <w:r w:rsidR="0068272F">
        <w:rPr>
          <w:rFonts w:ascii="Arial" w:hAnsi="Arial" w:cs="Arial"/>
        </w:rPr>
        <w:t>составил 4,3% (64</w:t>
      </w:r>
      <w:r w:rsidR="00AA0F60" w:rsidRPr="00932572">
        <w:rPr>
          <w:rFonts w:ascii="Arial" w:hAnsi="Arial" w:cs="Arial"/>
        </w:rPr>
        <w:t xml:space="preserve"> квартир</w:t>
      </w:r>
      <w:r w:rsidR="0068272F">
        <w:rPr>
          <w:rFonts w:ascii="Arial" w:hAnsi="Arial" w:cs="Arial"/>
        </w:rPr>
        <w:t>ы</w:t>
      </w:r>
      <w:r w:rsidR="00AA0F60" w:rsidRPr="00932572">
        <w:rPr>
          <w:rFonts w:ascii="Arial" w:hAnsi="Arial" w:cs="Arial"/>
        </w:rPr>
        <w:t>)</w:t>
      </w:r>
      <w:r w:rsidR="00731DF2">
        <w:rPr>
          <w:rFonts w:ascii="Arial" w:hAnsi="Arial" w:cs="Arial"/>
        </w:rPr>
        <w:t xml:space="preserve"> за счет повышенной активности на рынке жилья.</w:t>
      </w:r>
    </w:p>
    <w:p w:rsidR="00AA0F60" w:rsidRPr="00932572" w:rsidRDefault="00AA0F60" w:rsidP="00AA0F60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AA0F60" w:rsidRDefault="00AA0F60" w:rsidP="0068272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32572">
        <w:rPr>
          <w:rFonts w:ascii="Arial" w:hAnsi="Arial" w:cs="Arial"/>
        </w:rPr>
        <w:t xml:space="preserve">В предложении квартир на вторичном рынке </w:t>
      </w:r>
      <w:r w:rsidR="004964DA">
        <w:rPr>
          <w:rFonts w:ascii="Arial" w:hAnsi="Arial" w:cs="Arial"/>
        </w:rPr>
        <w:t xml:space="preserve">по-прежнему </w:t>
      </w:r>
      <w:r w:rsidRPr="00932572">
        <w:rPr>
          <w:rFonts w:ascii="Arial" w:hAnsi="Arial" w:cs="Arial"/>
        </w:rPr>
        <w:t xml:space="preserve">преобладают 2-комнатные квартиры, их доля </w:t>
      </w:r>
      <w:r w:rsidR="0068272F">
        <w:rPr>
          <w:rFonts w:ascii="Arial" w:hAnsi="Arial" w:cs="Arial"/>
        </w:rPr>
        <w:t>составила 34% (533</w:t>
      </w:r>
      <w:r w:rsidR="00796C81" w:rsidRPr="00932572">
        <w:rPr>
          <w:rFonts w:ascii="Arial" w:hAnsi="Arial" w:cs="Arial"/>
        </w:rPr>
        <w:t xml:space="preserve"> квартир</w:t>
      </w:r>
      <w:r w:rsidR="0068272F">
        <w:rPr>
          <w:rFonts w:ascii="Arial" w:hAnsi="Arial" w:cs="Arial"/>
        </w:rPr>
        <w:t>ы</w:t>
      </w:r>
      <w:r w:rsidR="00796C81" w:rsidRPr="00932572">
        <w:rPr>
          <w:rFonts w:ascii="Arial" w:hAnsi="Arial" w:cs="Arial"/>
        </w:rPr>
        <w:t>),</w:t>
      </w:r>
      <w:r w:rsidRPr="00932572">
        <w:rPr>
          <w:rFonts w:ascii="Arial" w:hAnsi="Arial" w:cs="Arial"/>
        </w:rPr>
        <w:t xml:space="preserve"> предложение</w:t>
      </w:r>
      <w:r w:rsidR="00796C81" w:rsidRPr="00932572">
        <w:rPr>
          <w:rFonts w:ascii="Arial" w:hAnsi="Arial" w:cs="Arial"/>
        </w:rPr>
        <w:t xml:space="preserve"> по данным квартирам</w:t>
      </w:r>
      <w:r w:rsidR="0068272F">
        <w:rPr>
          <w:rFonts w:ascii="Arial" w:hAnsi="Arial" w:cs="Arial"/>
        </w:rPr>
        <w:t xml:space="preserve"> по сравнению с июлем 2014 г. возросло на 7,2</w:t>
      </w:r>
      <w:r w:rsidR="00325FA9">
        <w:rPr>
          <w:rFonts w:ascii="Arial" w:hAnsi="Arial" w:cs="Arial"/>
        </w:rPr>
        <w:t>%. 3</w:t>
      </w:r>
      <w:r w:rsidRPr="00932572">
        <w:rPr>
          <w:rFonts w:ascii="Arial" w:hAnsi="Arial" w:cs="Arial"/>
        </w:rPr>
        <w:t>-к</w:t>
      </w:r>
      <w:r w:rsidR="00325FA9">
        <w:rPr>
          <w:rFonts w:ascii="Arial" w:hAnsi="Arial" w:cs="Arial"/>
        </w:rPr>
        <w:t>омнатные квартиры занимают – 28</w:t>
      </w:r>
      <w:r w:rsidRPr="00932572">
        <w:rPr>
          <w:rFonts w:ascii="Arial" w:hAnsi="Arial" w:cs="Arial"/>
        </w:rPr>
        <w:t>% вторичного рынк</w:t>
      </w:r>
      <w:r w:rsidR="00325FA9">
        <w:rPr>
          <w:rFonts w:ascii="Arial" w:hAnsi="Arial" w:cs="Arial"/>
        </w:rPr>
        <w:t xml:space="preserve">а. </w:t>
      </w:r>
      <w:r w:rsidR="0068272F">
        <w:rPr>
          <w:rFonts w:ascii="Arial" w:hAnsi="Arial" w:cs="Arial"/>
        </w:rPr>
        <w:t xml:space="preserve">Доля </w:t>
      </w:r>
      <w:r w:rsidR="00325FA9">
        <w:rPr>
          <w:rFonts w:ascii="Arial" w:hAnsi="Arial" w:cs="Arial"/>
        </w:rPr>
        <w:t>1</w:t>
      </w:r>
      <w:r w:rsidR="0068272F">
        <w:rPr>
          <w:rFonts w:ascii="Arial" w:hAnsi="Arial" w:cs="Arial"/>
        </w:rPr>
        <w:t>-комнатных квартир снизилась по сравнению с прошлым месяцем и составила – 22% (342</w:t>
      </w:r>
      <w:r w:rsidRPr="00932572">
        <w:rPr>
          <w:rFonts w:ascii="Arial" w:hAnsi="Arial" w:cs="Arial"/>
        </w:rPr>
        <w:t xml:space="preserve"> квартир</w:t>
      </w:r>
      <w:r w:rsidR="0068272F">
        <w:rPr>
          <w:rFonts w:ascii="Arial" w:hAnsi="Arial" w:cs="Arial"/>
        </w:rPr>
        <w:t>ы</w:t>
      </w:r>
      <w:r w:rsidRPr="00932572">
        <w:rPr>
          <w:rFonts w:ascii="Arial" w:hAnsi="Arial" w:cs="Arial"/>
        </w:rPr>
        <w:t>). Объем предложения по многокомнатным квартирам</w:t>
      </w:r>
      <w:r w:rsidR="00325FA9">
        <w:rPr>
          <w:rFonts w:ascii="Arial" w:hAnsi="Arial" w:cs="Arial"/>
        </w:rPr>
        <w:t xml:space="preserve"> </w:t>
      </w:r>
      <w:r w:rsidR="0068272F">
        <w:rPr>
          <w:rFonts w:ascii="Arial" w:hAnsi="Arial" w:cs="Arial"/>
        </w:rPr>
        <w:t>не изменился и составил</w:t>
      </w:r>
      <w:r w:rsidR="00B50A80">
        <w:rPr>
          <w:rFonts w:ascii="Arial" w:hAnsi="Arial" w:cs="Arial"/>
        </w:rPr>
        <w:t xml:space="preserve"> 16</w:t>
      </w:r>
      <w:r w:rsidRPr="00932572">
        <w:rPr>
          <w:rFonts w:ascii="Arial" w:hAnsi="Arial" w:cs="Arial"/>
        </w:rPr>
        <w:t>%.</w:t>
      </w:r>
    </w:p>
    <w:p w:rsidR="0068272F" w:rsidRPr="00932572" w:rsidRDefault="0068272F" w:rsidP="00B52766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68272F">
        <w:rPr>
          <w:rFonts w:ascii="Arial" w:hAnsi="Arial" w:cs="Arial"/>
          <w:noProof/>
        </w:rPr>
        <w:drawing>
          <wp:inline distT="0" distB="0" distL="0" distR="0">
            <wp:extent cx="4572000" cy="2632841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14D9" w:rsidRDefault="002B76CF" w:rsidP="00721AB6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AA0F60">
        <w:rPr>
          <w:rFonts w:ascii="Arial" w:hAnsi="Arial" w:cs="Arial"/>
          <w:i/>
          <w:sz w:val="16"/>
          <w:szCs w:val="16"/>
        </w:rPr>
        <w:t xml:space="preserve">, </w:t>
      </w:r>
      <w:r w:rsidR="00482AF2">
        <w:rPr>
          <w:rFonts w:ascii="Arial" w:hAnsi="Arial" w:cs="Arial"/>
          <w:i/>
          <w:sz w:val="16"/>
          <w:szCs w:val="16"/>
        </w:rPr>
        <w:t>2014</w:t>
      </w:r>
      <w:r w:rsidR="00AA0F60">
        <w:rPr>
          <w:rFonts w:ascii="Arial" w:hAnsi="Arial" w:cs="Arial"/>
          <w:i/>
          <w:sz w:val="16"/>
          <w:szCs w:val="16"/>
        </w:rPr>
        <w:t xml:space="preserve"> </w:t>
      </w:r>
      <w:r w:rsidR="00482AF2">
        <w:rPr>
          <w:rFonts w:ascii="Arial" w:hAnsi="Arial" w:cs="Arial"/>
          <w:i/>
          <w:sz w:val="16"/>
          <w:szCs w:val="16"/>
        </w:rPr>
        <w:t>г</w:t>
      </w:r>
      <w:r w:rsidR="00AA0F60">
        <w:rPr>
          <w:rFonts w:ascii="Arial" w:hAnsi="Arial" w:cs="Arial"/>
          <w:i/>
          <w:sz w:val="16"/>
          <w:szCs w:val="16"/>
        </w:rPr>
        <w:t>.</w:t>
      </w:r>
    </w:p>
    <w:p w:rsidR="00CE4A48" w:rsidRDefault="00CE4A48" w:rsidP="00B52766">
      <w:pPr>
        <w:spacing w:line="240" w:lineRule="auto"/>
        <w:ind w:firstLine="284"/>
        <w:jc w:val="both"/>
        <w:rPr>
          <w:rFonts w:ascii="Arial" w:hAnsi="Arial" w:cs="Arial"/>
        </w:rPr>
      </w:pPr>
      <w:proofErr w:type="gramStart"/>
      <w:r w:rsidRPr="00EC05E3">
        <w:rPr>
          <w:rFonts w:ascii="Arial" w:hAnsi="Arial" w:cs="Arial"/>
        </w:rPr>
        <w:t>Объем предложения квартир в панельных домах остается на уровн</w:t>
      </w:r>
      <w:r w:rsidR="00325FA9">
        <w:rPr>
          <w:rFonts w:ascii="Arial" w:hAnsi="Arial" w:cs="Arial"/>
        </w:rPr>
        <w:t xml:space="preserve">е </w:t>
      </w:r>
      <w:r w:rsidR="00B50A80">
        <w:rPr>
          <w:rFonts w:ascii="Arial" w:hAnsi="Arial" w:cs="Arial"/>
        </w:rPr>
        <w:t>ию</w:t>
      </w:r>
      <w:r w:rsidR="00B52766">
        <w:rPr>
          <w:rFonts w:ascii="Arial" w:hAnsi="Arial" w:cs="Arial"/>
        </w:rPr>
        <w:t>ля</w:t>
      </w:r>
      <w:r w:rsidR="00B50A80">
        <w:rPr>
          <w:rFonts w:ascii="Arial" w:hAnsi="Arial" w:cs="Arial"/>
        </w:rPr>
        <w:t xml:space="preserve"> 2014 г.</w:t>
      </w:r>
      <w:r w:rsidR="00B52766">
        <w:rPr>
          <w:rFonts w:ascii="Arial" w:hAnsi="Arial" w:cs="Arial"/>
        </w:rPr>
        <w:t xml:space="preserve"> и в августе составил 67</w:t>
      </w:r>
      <w:r w:rsidRPr="00EC05E3">
        <w:rPr>
          <w:rFonts w:ascii="Arial" w:hAnsi="Arial" w:cs="Arial"/>
        </w:rPr>
        <w:t xml:space="preserve">%, в </w:t>
      </w:r>
      <w:r w:rsidR="00B52766">
        <w:rPr>
          <w:rFonts w:ascii="Arial" w:hAnsi="Arial" w:cs="Arial"/>
        </w:rPr>
        <w:t>кирпичных домах представлено 30</w:t>
      </w:r>
      <w:r w:rsidR="00325FA9">
        <w:rPr>
          <w:rFonts w:ascii="Arial" w:hAnsi="Arial" w:cs="Arial"/>
        </w:rPr>
        <w:t>% в общем объеме предложения, 2% и 1</w:t>
      </w:r>
      <w:r w:rsidRPr="00EC05E3">
        <w:rPr>
          <w:rFonts w:ascii="Arial" w:hAnsi="Arial" w:cs="Arial"/>
        </w:rPr>
        <w:t>% в домах с монолитным и блочным типами домостроения соответственно.</w:t>
      </w:r>
      <w:proofErr w:type="gramEnd"/>
    </w:p>
    <w:p w:rsidR="00B52766" w:rsidRDefault="00B52766" w:rsidP="00B52766">
      <w:pPr>
        <w:spacing w:line="240" w:lineRule="auto"/>
        <w:ind w:firstLine="284"/>
        <w:jc w:val="center"/>
        <w:rPr>
          <w:rFonts w:ascii="Arial" w:hAnsi="Arial" w:cs="Arial"/>
        </w:rPr>
      </w:pPr>
      <w:r w:rsidRPr="00B52766">
        <w:rPr>
          <w:rFonts w:ascii="Arial" w:hAnsi="Arial" w:cs="Arial"/>
          <w:noProof/>
        </w:rPr>
        <w:drawing>
          <wp:inline distT="0" distB="0" distL="0" distR="0">
            <wp:extent cx="4572000" cy="260131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A48" w:rsidRDefault="00CE4A48" w:rsidP="00CE4A48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CE4A48" w:rsidRPr="00EC05E3" w:rsidRDefault="00CE4A48" w:rsidP="00B52766">
      <w:pPr>
        <w:spacing w:line="240" w:lineRule="auto"/>
        <w:ind w:firstLine="709"/>
        <w:jc w:val="both"/>
        <w:rPr>
          <w:rFonts w:ascii="Arial" w:hAnsi="Arial" w:cs="Arial"/>
        </w:rPr>
      </w:pPr>
      <w:r w:rsidRPr="00EC05E3">
        <w:rPr>
          <w:rFonts w:ascii="Arial" w:hAnsi="Arial" w:cs="Arial"/>
        </w:rPr>
        <w:lastRenderedPageBreak/>
        <w:t>Наибольший объем предложения 1-комнатных квартир представлен в ценово</w:t>
      </w:r>
      <w:r w:rsidR="009B1B86">
        <w:rPr>
          <w:rFonts w:ascii="Arial" w:hAnsi="Arial" w:cs="Arial"/>
        </w:rPr>
        <w:t>м диапазоне от 1750 до 2000</w:t>
      </w:r>
      <w:r w:rsidR="00EB50F7" w:rsidRPr="00EC05E3">
        <w:rPr>
          <w:rFonts w:ascii="Arial" w:hAnsi="Arial" w:cs="Arial"/>
        </w:rPr>
        <w:t xml:space="preserve"> тысяч рублей</w:t>
      </w:r>
      <w:r w:rsidR="00B52766">
        <w:rPr>
          <w:rFonts w:ascii="Arial" w:hAnsi="Arial" w:cs="Arial"/>
        </w:rPr>
        <w:t xml:space="preserve"> – 26</w:t>
      </w:r>
      <w:r w:rsidR="009B1B86">
        <w:rPr>
          <w:rFonts w:ascii="Arial" w:hAnsi="Arial" w:cs="Arial"/>
        </w:rPr>
        <w:t>,</w:t>
      </w:r>
      <w:r w:rsidR="00B85273">
        <w:rPr>
          <w:rFonts w:ascii="Arial" w:hAnsi="Arial" w:cs="Arial"/>
        </w:rPr>
        <w:t>0</w:t>
      </w:r>
      <w:r w:rsidR="00B52766">
        <w:rPr>
          <w:rFonts w:ascii="Arial" w:hAnsi="Arial" w:cs="Arial"/>
        </w:rPr>
        <w:t>2</w:t>
      </w:r>
      <w:r w:rsidRPr="00EC05E3">
        <w:rPr>
          <w:rFonts w:ascii="Arial" w:hAnsi="Arial" w:cs="Arial"/>
        </w:rPr>
        <w:t>%</w:t>
      </w:r>
      <w:r w:rsidR="00590D87">
        <w:rPr>
          <w:rFonts w:ascii="Arial" w:hAnsi="Arial" w:cs="Arial"/>
        </w:rPr>
        <w:t xml:space="preserve"> </w:t>
      </w:r>
      <w:r w:rsidR="00590D87" w:rsidRPr="00231C51">
        <w:rPr>
          <w:rFonts w:ascii="Arial" w:hAnsi="Arial" w:cs="Arial"/>
        </w:rPr>
        <w:t>(от объема 1-комнатных квартир)</w:t>
      </w:r>
      <w:r w:rsidRPr="00EC05E3">
        <w:rPr>
          <w:rFonts w:ascii="Arial" w:hAnsi="Arial" w:cs="Arial"/>
        </w:rPr>
        <w:t xml:space="preserve">, 2-комнатных – от </w:t>
      </w:r>
      <w:r w:rsidR="009B1B86">
        <w:rPr>
          <w:rFonts w:ascii="Arial" w:hAnsi="Arial" w:cs="Arial"/>
        </w:rPr>
        <w:t>2250 до 2500</w:t>
      </w:r>
      <w:r w:rsidR="00EB50F7" w:rsidRPr="00EC05E3">
        <w:rPr>
          <w:rFonts w:ascii="Arial" w:hAnsi="Arial" w:cs="Arial"/>
        </w:rPr>
        <w:t xml:space="preserve"> тысяч рублей</w:t>
      </w:r>
      <w:r w:rsidR="00B52766">
        <w:rPr>
          <w:rFonts w:ascii="Arial" w:hAnsi="Arial" w:cs="Arial"/>
        </w:rPr>
        <w:t xml:space="preserve"> (28,33</w:t>
      </w:r>
      <w:r w:rsidR="00231C51">
        <w:rPr>
          <w:rFonts w:ascii="Arial" w:hAnsi="Arial" w:cs="Arial"/>
        </w:rPr>
        <w:t>%</w:t>
      </w:r>
      <w:r w:rsidR="00590D87" w:rsidRPr="00231C51">
        <w:rPr>
          <w:rFonts w:ascii="Arial" w:hAnsi="Arial" w:cs="Arial"/>
        </w:rPr>
        <w:t xml:space="preserve"> от объема 2-комнатных квартир</w:t>
      </w:r>
      <w:r w:rsidR="00231C51">
        <w:rPr>
          <w:rFonts w:ascii="Arial" w:hAnsi="Arial" w:cs="Arial"/>
        </w:rPr>
        <w:t>)</w:t>
      </w:r>
      <w:r w:rsidRPr="00EC05E3">
        <w:rPr>
          <w:rFonts w:ascii="Arial" w:hAnsi="Arial" w:cs="Arial"/>
        </w:rPr>
        <w:t xml:space="preserve">, 3-комнатных – от </w:t>
      </w:r>
      <w:r w:rsidR="00B85273">
        <w:rPr>
          <w:rFonts w:ascii="Arial" w:hAnsi="Arial" w:cs="Arial"/>
        </w:rPr>
        <w:t>3250 до 350</w:t>
      </w:r>
      <w:r w:rsidR="009B1B86">
        <w:rPr>
          <w:rFonts w:ascii="Arial" w:hAnsi="Arial" w:cs="Arial"/>
        </w:rPr>
        <w:t>0</w:t>
      </w:r>
      <w:r w:rsidR="00EB50F7" w:rsidRPr="00EC05E3">
        <w:rPr>
          <w:rFonts w:ascii="Arial" w:hAnsi="Arial" w:cs="Arial"/>
        </w:rPr>
        <w:t xml:space="preserve"> тысяч рублей</w:t>
      </w:r>
      <w:r w:rsidR="00B52766">
        <w:rPr>
          <w:rFonts w:ascii="Arial" w:hAnsi="Arial" w:cs="Arial"/>
        </w:rPr>
        <w:t xml:space="preserve"> – 20,51</w:t>
      </w:r>
      <w:r w:rsidRPr="00EC05E3">
        <w:rPr>
          <w:rFonts w:ascii="Arial" w:hAnsi="Arial" w:cs="Arial"/>
        </w:rPr>
        <w:t>%</w:t>
      </w:r>
      <w:r w:rsidR="00231C51">
        <w:rPr>
          <w:rFonts w:ascii="Arial" w:hAnsi="Arial" w:cs="Arial"/>
        </w:rPr>
        <w:t xml:space="preserve"> (от объема 3-комнатных квартир)</w:t>
      </w:r>
      <w:r w:rsidRPr="00EC05E3">
        <w:rPr>
          <w:rFonts w:ascii="Arial" w:hAnsi="Arial" w:cs="Arial"/>
        </w:rPr>
        <w:t>.</w:t>
      </w:r>
      <w:r w:rsidR="009B1B86">
        <w:rPr>
          <w:rFonts w:ascii="Arial" w:hAnsi="Arial" w:cs="Arial"/>
        </w:rPr>
        <w:t xml:space="preserve"> Наибольшая доля предложения многокомнатных квартир представлена в ценовом диапазоне от</w:t>
      </w:r>
      <w:r w:rsidR="00B52766">
        <w:rPr>
          <w:rFonts w:ascii="Arial" w:hAnsi="Arial" w:cs="Arial"/>
        </w:rPr>
        <w:t xml:space="preserve"> 3250 до 3500 тысяч рублей -  34,80</w:t>
      </w:r>
      <w:r w:rsidR="009B1B86">
        <w:rPr>
          <w:rFonts w:ascii="Arial" w:hAnsi="Arial" w:cs="Arial"/>
        </w:rPr>
        <w:t>% (от объема многокомнатных квартир).</w:t>
      </w:r>
    </w:p>
    <w:p w:rsidR="00CE4A48" w:rsidRDefault="00B52766" w:rsidP="00932572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B5276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20130" cy="2576531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50F7" w:rsidRDefault="00EB50F7" w:rsidP="00EB50F7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EB50F7" w:rsidRDefault="00EB50F7" w:rsidP="00B52766">
      <w:pPr>
        <w:spacing w:line="240" w:lineRule="auto"/>
        <w:ind w:firstLine="709"/>
        <w:jc w:val="both"/>
        <w:rPr>
          <w:rFonts w:ascii="Arial" w:hAnsi="Arial" w:cs="Arial"/>
        </w:rPr>
      </w:pPr>
      <w:r w:rsidRPr="00EC05E3">
        <w:rPr>
          <w:rFonts w:ascii="Arial" w:hAnsi="Arial" w:cs="Arial"/>
        </w:rPr>
        <w:t>Наибольший объем предложения на вторичном рынке жилья в Нагорном районе представлен в ценовом диапазоне от 2</w:t>
      </w:r>
      <w:r w:rsidR="00B52766">
        <w:rPr>
          <w:rFonts w:ascii="Arial" w:hAnsi="Arial" w:cs="Arial"/>
        </w:rPr>
        <w:t>250 до 2500 тысяч рублей – 15,44</w:t>
      </w:r>
      <w:r w:rsidRPr="00EC05E3">
        <w:rPr>
          <w:rFonts w:ascii="Arial" w:hAnsi="Arial" w:cs="Arial"/>
        </w:rPr>
        <w:t>%, в подгорной части города – от 20</w:t>
      </w:r>
      <w:r w:rsidR="00B52766">
        <w:rPr>
          <w:rFonts w:ascii="Arial" w:hAnsi="Arial" w:cs="Arial"/>
        </w:rPr>
        <w:t>00 до 2250тысяч рублей – 20,31</w:t>
      </w:r>
      <w:r w:rsidRPr="00EC05E3">
        <w:rPr>
          <w:rFonts w:ascii="Arial" w:hAnsi="Arial" w:cs="Arial"/>
        </w:rPr>
        <w:t>%.</w:t>
      </w:r>
    </w:p>
    <w:p w:rsidR="00B52766" w:rsidRPr="00EC05E3" w:rsidRDefault="00B52766" w:rsidP="00B52766">
      <w:pPr>
        <w:spacing w:line="240" w:lineRule="auto"/>
        <w:ind w:firstLine="709"/>
        <w:jc w:val="both"/>
        <w:rPr>
          <w:rFonts w:ascii="Arial" w:hAnsi="Arial" w:cs="Arial"/>
        </w:rPr>
      </w:pPr>
      <w:r w:rsidRPr="00B52766">
        <w:rPr>
          <w:rFonts w:ascii="Arial" w:hAnsi="Arial" w:cs="Arial"/>
          <w:noProof/>
        </w:rPr>
        <w:drawing>
          <wp:inline distT="0" distB="0" distL="0" distR="0">
            <wp:extent cx="4848225" cy="303847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50F7" w:rsidRDefault="00EB50F7" w:rsidP="00EB50F7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EB50F7" w:rsidRPr="00EC05E3" w:rsidRDefault="00F500EA" w:rsidP="00AD048F">
      <w:pPr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 w:rsidRPr="00EC05E3">
        <w:rPr>
          <w:rFonts w:ascii="Arial" w:hAnsi="Arial" w:cs="Arial"/>
        </w:rPr>
        <w:t>Анализ структуры предложения по диапазонам площадей в разрезе по размерам квартир выявил</w:t>
      </w:r>
      <w:r w:rsidR="00AD048F">
        <w:rPr>
          <w:rFonts w:ascii="Arial" w:hAnsi="Arial" w:cs="Arial"/>
        </w:rPr>
        <w:t>, что 1-комнатные квартиры в августе</w:t>
      </w:r>
      <w:r w:rsidRPr="00EC05E3">
        <w:rPr>
          <w:rFonts w:ascii="Arial" w:hAnsi="Arial" w:cs="Arial"/>
        </w:rPr>
        <w:t xml:space="preserve"> 2014 г. предлагались в основном п</w:t>
      </w:r>
      <w:r w:rsidR="00AD048F">
        <w:rPr>
          <w:rFonts w:ascii="Arial" w:hAnsi="Arial" w:cs="Arial"/>
        </w:rPr>
        <w:t>лощадью от 30 до 35 кв.м. (30,4</w:t>
      </w:r>
      <w:r w:rsidRPr="00EC05E3">
        <w:rPr>
          <w:rFonts w:ascii="Arial" w:hAnsi="Arial" w:cs="Arial"/>
        </w:rPr>
        <w:t>%), 2-комна</w:t>
      </w:r>
      <w:r w:rsidR="00AD048F">
        <w:rPr>
          <w:rFonts w:ascii="Arial" w:hAnsi="Arial" w:cs="Arial"/>
        </w:rPr>
        <w:t>тные – от 50 до 55 кв.м. (37,9</w:t>
      </w:r>
      <w:r w:rsidRPr="00EC05E3">
        <w:rPr>
          <w:rFonts w:ascii="Arial" w:hAnsi="Arial" w:cs="Arial"/>
        </w:rPr>
        <w:t>%), 3-комна</w:t>
      </w:r>
      <w:r w:rsidR="00AD048F">
        <w:rPr>
          <w:rFonts w:ascii="Arial" w:hAnsi="Arial" w:cs="Arial"/>
        </w:rPr>
        <w:t>тные – от 60</w:t>
      </w:r>
      <w:r w:rsidR="00666264">
        <w:rPr>
          <w:rFonts w:ascii="Arial" w:hAnsi="Arial" w:cs="Arial"/>
        </w:rPr>
        <w:t xml:space="preserve"> </w:t>
      </w:r>
      <w:r w:rsidR="00AD048F">
        <w:rPr>
          <w:rFonts w:ascii="Arial" w:hAnsi="Arial" w:cs="Arial"/>
        </w:rPr>
        <w:t>до 65</w:t>
      </w:r>
      <w:r w:rsidR="00666264">
        <w:rPr>
          <w:rFonts w:ascii="Arial" w:hAnsi="Arial" w:cs="Arial"/>
        </w:rPr>
        <w:t xml:space="preserve"> кв.м. </w:t>
      </w:r>
      <w:r w:rsidR="00AD048F">
        <w:rPr>
          <w:rFonts w:ascii="Arial" w:hAnsi="Arial" w:cs="Arial"/>
        </w:rPr>
        <w:t>(32,64</w:t>
      </w:r>
      <w:r w:rsidR="00666264">
        <w:rPr>
          <w:rFonts w:ascii="Arial" w:hAnsi="Arial" w:cs="Arial"/>
        </w:rPr>
        <w:t>%), многоком</w:t>
      </w:r>
      <w:r w:rsidR="00AD048F">
        <w:rPr>
          <w:rFonts w:ascii="Arial" w:hAnsi="Arial" w:cs="Arial"/>
        </w:rPr>
        <w:t>натные – от 80 до 85 кв.м. (65,</w:t>
      </w:r>
      <w:r w:rsidR="008F0080">
        <w:rPr>
          <w:rFonts w:ascii="Arial" w:hAnsi="Arial" w:cs="Arial"/>
        </w:rPr>
        <w:t>2</w:t>
      </w:r>
      <w:r w:rsidR="00666264">
        <w:rPr>
          <w:rFonts w:ascii="Arial" w:hAnsi="Arial" w:cs="Arial"/>
        </w:rPr>
        <w:t>%).</w:t>
      </w:r>
      <w:proofErr w:type="gramEnd"/>
    </w:p>
    <w:p w:rsidR="00F500EA" w:rsidRDefault="00AD048F" w:rsidP="00932572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AD048F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2625" cy="2743200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00EA" w:rsidRDefault="00F500EA" w:rsidP="00F500EA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023E18" w:rsidRPr="008120BF" w:rsidRDefault="00023E18" w:rsidP="008120B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A4E1B" w:rsidRDefault="001A4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85BA5" w:rsidRDefault="00785BA5" w:rsidP="00F500EA">
      <w:pPr>
        <w:jc w:val="center"/>
        <w:rPr>
          <w:rFonts w:ascii="Arial" w:hAnsi="Arial" w:cs="Arial"/>
          <w:b/>
        </w:rPr>
      </w:pPr>
      <w:r w:rsidRPr="00025BE3">
        <w:rPr>
          <w:rFonts w:ascii="Arial" w:hAnsi="Arial" w:cs="Arial"/>
          <w:b/>
        </w:rPr>
        <w:lastRenderedPageBreak/>
        <w:t>А</w:t>
      </w:r>
      <w:r>
        <w:rPr>
          <w:rFonts w:ascii="Arial" w:hAnsi="Arial" w:cs="Arial"/>
          <w:b/>
        </w:rPr>
        <w:t>НАЛИЗ ЦЕНОВОЙ СИТУАЦИИ НА ВТОРИЧНОМ РЫНКЕ</w:t>
      </w:r>
      <w:r w:rsidR="00AD048F">
        <w:rPr>
          <w:rFonts w:ascii="Arial" w:hAnsi="Arial" w:cs="Arial"/>
          <w:b/>
        </w:rPr>
        <w:t xml:space="preserve"> Г. ТОБОЛЬСК ЗА АВГУСТ</w:t>
      </w:r>
      <w:r w:rsidR="001C32F9">
        <w:rPr>
          <w:rFonts w:ascii="Arial" w:hAnsi="Arial" w:cs="Arial"/>
          <w:b/>
        </w:rPr>
        <w:t xml:space="preserve"> 2014</w:t>
      </w:r>
      <w:r w:rsidR="00F500EA">
        <w:rPr>
          <w:rFonts w:ascii="Arial" w:hAnsi="Arial" w:cs="Arial"/>
          <w:b/>
        </w:rPr>
        <w:t>Г.</w:t>
      </w:r>
    </w:p>
    <w:p w:rsidR="00F500EA" w:rsidRDefault="00AD048F" w:rsidP="00AD04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Удельная цена предложения в августе</w:t>
      </w:r>
      <w:r w:rsidR="00FB21DE">
        <w:rPr>
          <w:rFonts w:ascii="Arial" w:hAnsi="Arial" w:cs="Arial"/>
        </w:rPr>
        <w:t xml:space="preserve"> 2014</w:t>
      </w:r>
      <w:r w:rsidR="00F500EA" w:rsidRPr="00932572">
        <w:rPr>
          <w:rFonts w:ascii="Arial" w:hAnsi="Arial" w:cs="Arial"/>
        </w:rPr>
        <w:t>г. составил</w:t>
      </w:r>
      <w:r w:rsidR="00A332E8">
        <w:rPr>
          <w:rFonts w:ascii="Arial" w:hAnsi="Arial" w:cs="Arial"/>
        </w:rPr>
        <w:t>а 50431</w:t>
      </w:r>
      <w:r w:rsidR="00231C51">
        <w:rPr>
          <w:rFonts w:ascii="Arial" w:hAnsi="Arial" w:cs="Arial"/>
        </w:rPr>
        <w:t xml:space="preserve"> рублей. </w:t>
      </w:r>
      <w:r w:rsidR="008F0080">
        <w:rPr>
          <w:rFonts w:ascii="Arial" w:hAnsi="Arial" w:cs="Arial"/>
        </w:rPr>
        <w:t xml:space="preserve">Темп </w:t>
      </w:r>
      <w:r w:rsidR="00A332E8">
        <w:rPr>
          <w:rFonts w:ascii="Arial" w:hAnsi="Arial" w:cs="Arial"/>
        </w:rPr>
        <w:t>прироста к июл</w:t>
      </w:r>
      <w:r w:rsidR="008F0080">
        <w:rPr>
          <w:rFonts w:ascii="Arial" w:hAnsi="Arial" w:cs="Arial"/>
        </w:rPr>
        <w:t>ю</w:t>
      </w:r>
      <w:r w:rsidR="00FB21DE">
        <w:rPr>
          <w:rFonts w:ascii="Arial" w:hAnsi="Arial" w:cs="Arial"/>
        </w:rPr>
        <w:t xml:space="preserve"> </w:t>
      </w:r>
      <w:r w:rsidR="00A332E8">
        <w:rPr>
          <w:rFonts w:ascii="Arial" w:hAnsi="Arial" w:cs="Arial"/>
        </w:rPr>
        <w:t>2014 г. составил 0,92</w:t>
      </w:r>
      <w:r w:rsidR="00F500EA" w:rsidRPr="00932572">
        <w:rPr>
          <w:rFonts w:ascii="Arial" w:hAnsi="Arial" w:cs="Arial"/>
        </w:rPr>
        <w:t xml:space="preserve">% </w:t>
      </w:r>
      <w:proofErr w:type="spellStart"/>
      <w:r w:rsidR="00FB21DE">
        <w:rPr>
          <w:rFonts w:ascii="Calibri" w:hAnsi="Calibri" w:cs="Calibri"/>
        </w:rPr>
        <w:t>↓</w:t>
      </w:r>
      <w:proofErr w:type="spellEnd"/>
      <w:r w:rsidR="00F500EA" w:rsidRPr="00932572">
        <w:rPr>
          <w:rFonts w:ascii="Arial" w:hAnsi="Arial" w:cs="Arial"/>
        </w:rPr>
        <w:t>.</w:t>
      </w:r>
      <w:r w:rsidR="00932572">
        <w:rPr>
          <w:rFonts w:ascii="Arial" w:hAnsi="Arial" w:cs="Arial"/>
        </w:rPr>
        <w:t xml:space="preserve"> </w:t>
      </w:r>
      <w:r w:rsidR="00F500EA" w:rsidRPr="00932572">
        <w:rPr>
          <w:rFonts w:ascii="Arial" w:hAnsi="Arial" w:cs="Arial"/>
        </w:rPr>
        <w:t>Те</w:t>
      </w:r>
      <w:r w:rsidR="00A332E8">
        <w:rPr>
          <w:rFonts w:ascii="Arial" w:hAnsi="Arial" w:cs="Arial"/>
        </w:rPr>
        <w:t>мп прироста к августу 2013 г. – 0,89</w:t>
      </w:r>
      <w:r w:rsidR="00F500EA" w:rsidRPr="00932572">
        <w:rPr>
          <w:rFonts w:ascii="Arial" w:hAnsi="Arial" w:cs="Arial"/>
        </w:rPr>
        <w:t>% (</w:t>
      </w:r>
      <w:proofErr w:type="spellStart"/>
      <w:r w:rsidR="00A332E8">
        <w:rPr>
          <w:rFonts w:ascii="Calibri" w:hAnsi="Calibri" w:cs="Calibri"/>
        </w:rPr>
        <w:t>↓</w:t>
      </w:r>
      <w:proofErr w:type="spellEnd"/>
      <w:r w:rsidR="00F500EA" w:rsidRPr="00932572">
        <w:rPr>
          <w:rFonts w:ascii="Arial" w:hAnsi="Arial" w:cs="Arial"/>
        </w:rPr>
        <w:t>).</w:t>
      </w:r>
      <w:r w:rsidR="004C5AA3">
        <w:rPr>
          <w:rFonts w:ascii="Arial" w:hAnsi="Arial" w:cs="Arial"/>
        </w:rPr>
        <w:t xml:space="preserve"> </w:t>
      </w:r>
      <w:r w:rsidR="00E4058F">
        <w:rPr>
          <w:rFonts w:ascii="Arial" w:hAnsi="Arial" w:cs="Arial"/>
        </w:rPr>
        <w:t xml:space="preserve"> С апреля 2013</w:t>
      </w:r>
      <w:r w:rsidR="00231C51">
        <w:rPr>
          <w:rFonts w:ascii="Arial" w:hAnsi="Arial" w:cs="Arial"/>
        </w:rPr>
        <w:t xml:space="preserve"> г. на рынке вторичного жилья в г</w:t>
      </w:r>
      <w:proofErr w:type="gramStart"/>
      <w:r w:rsidR="00231C51">
        <w:rPr>
          <w:rFonts w:ascii="Arial" w:hAnsi="Arial" w:cs="Arial"/>
        </w:rPr>
        <w:t>.Т</w:t>
      </w:r>
      <w:proofErr w:type="gramEnd"/>
      <w:r w:rsidR="00231C51">
        <w:rPr>
          <w:rFonts w:ascii="Arial" w:hAnsi="Arial" w:cs="Arial"/>
        </w:rPr>
        <w:t>обольске наблюдается стабилизация удельной цены.</w:t>
      </w:r>
      <w:r w:rsidR="004643F2">
        <w:rPr>
          <w:rFonts w:ascii="Arial" w:hAnsi="Arial" w:cs="Arial"/>
        </w:rPr>
        <w:t xml:space="preserve"> Ежемесячные колебания не превышают 1%.</w:t>
      </w:r>
    </w:p>
    <w:p w:rsidR="00CD0FD6" w:rsidRPr="00932572" w:rsidRDefault="00A332E8" w:rsidP="00A332E8">
      <w:pPr>
        <w:jc w:val="center"/>
        <w:rPr>
          <w:rFonts w:ascii="Arial" w:hAnsi="Arial" w:cs="Arial"/>
        </w:rPr>
      </w:pPr>
      <w:r w:rsidRPr="00A332E8">
        <w:rPr>
          <w:rFonts w:ascii="Arial" w:hAnsi="Arial" w:cs="Arial"/>
          <w:noProof/>
        </w:rPr>
        <w:drawing>
          <wp:inline distT="0" distB="0" distL="0" distR="0">
            <wp:extent cx="5791200" cy="2733676"/>
            <wp:effectExtent l="0" t="0" r="0" b="0"/>
            <wp:docPr id="3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53F1" w:rsidRDefault="005253F1" w:rsidP="005253F1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5253F1" w:rsidRDefault="005253F1" w:rsidP="00AD048F">
      <w:pPr>
        <w:ind w:firstLine="709"/>
        <w:jc w:val="both"/>
        <w:rPr>
          <w:rFonts w:ascii="Arial" w:hAnsi="Arial" w:cs="Arial"/>
        </w:rPr>
      </w:pPr>
      <w:r w:rsidRPr="00D37D52">
        <w:rPr>
          <w:rFonts w:ascii="Arial" w:hAnsi="Arial" w:cs="Arial"/>
        </w:rPr>
        <w:t>В разрезе по размеру квартир наибольшее снижение удельной</w:t>
      </w:r>
      <w:r w:rsidR="00AD048F">
        <w:rPr>
          <w:rFonts w:ascii="Arial" w:hAnsi="Arial" w:cs="Arial"/>
        </w:rPr>
        <w:t xml:space="preserve"> цены предложения составило 0,96</w:t>
      </w:r>
      <w:r w:rsidRPr="00D37D52">
        <w:rPr>
          <w:rFonts w:ascii="Arial" w:hAnsi="Arial" w:cs="Arial"/>
        </w:rPr>
        <w:t>% (</w:t>
      </w:r>
      <w:proofErr w:type="spellStart"/>
      <w:r w:rsidRPr="00D37D52">
        <w:rPr>
          <w:rFonts w:ascii="Calibri" w:hAnsi="Calibri" w:cs="Calibri"/>
        </w:rPr>
        <w:t>↓</w:t>
      </w:r>
      <w:proofErr w:type="spellEnd"/>
      <w:r w:rsidR="00AD048F">
        <w:rPr>
          <w:rFonts w:ascii="Arial" w:hAnsi="Arial" w:cs="Arial"/>
        </w:rPr>
        <w:t>) на 1-комнатные квартиры (56074</w:t>
      </w:r>
      <w:r w:rsidRPr="00D37D52">
        <w:rPr>
          <w:rFonts w:ascii="Arial" w:hAnsi="Arial" w:cs="Arial"/>
        </w:rPr>
        <w:t xml:space="preserve"> руб./к</w:t>
      </w:r>
      <w:r w:rsidR="00AD048F">
        <w:rPr>
          <w:rFonts w:ascii="Arial" w:hAnsi="Arial" w:cs="Arial"/>
        </w:rPr>
        <w:t>в.м.), а также 0,70% (</w:t>
      </w:r>
      <w:proofErr w:type="spellStart"/>
      <w:r w:rsidR="00AD048F">
        <w:rPr>
          <w:rFonts w:ascii="Arial" w:hAnsi="Arial" w:cs="Arial"/>
        </w:rPr>
        <w:t>↓</w:t>
      </w:r>
      <w:proofErr w:type="spellEnd"/>
      <w:r w:rsidR="00AD048F">
        <w:rPr>
          <w:rFonts w:ascii="Arial" w:hAnsi="Arial" w:cs="Arial"/>
        </w:rPr>
        <w:t>) на 3-комнатные квартиры (48529</w:t>
      </w:r>
      <w:r w:rsidRPr="00D37D52">
        <w:rPr>
          <w:rFonts w:ascii="Arial" w:hAnsi="Arial" w:cs="Arial"/>
        </w:rPr>
        <w:t xml:space="preserve"> руб./кв.м.). Снижен</w:t>
      </w:r>
      <w:r w:rsidR="004643F2">
        <w:rPr>
          <w:rFonts w:ascii="Arial" w:hAnsi="Arial" w:cs="Arial"/>
        </w:rPr>
        <w:t>ие</w:t>
      </w:r>
      <w:r w:rsidR="00AD048F">
        <w:rPr>
          <w:rFonts w:ascii="Arial" w:hAnsi="Arial" w:cs="Arial"/>
        </w:rPr>
        <w:t xml:space="preserve"> цены</w:t>
      </w:r>
      <w:r w:rsidR="004643F2">
        <w:rPr>
          <w:rFonts w:ascii="Arial" w:hAnsi="Arial" w:cs="Arial"/>
        </w:rPr>
        <w:t xml:space="preserve"> на </w:t>
      </w:r>
      <w:r w:rsidR="00AD048F">
        <w:rPr>
          <w:rFonts w:ascii="Arial" w:hAnsi="Arial" w:cs="Arial"/>
        </w:rPr>
        <w:t>2-х комнатные квартиры в августе 2014г. составило 0,41% (Удельная цена составила 51318 руб./кв.м.). Удельная цена на многокомнатные квартиры в августе</w:t>
      </w:r>
      <w:r w:rsidR="004643F2">
        <w:rPr>
          <w:rFonts w:ascii="Arial" w:hAnsi="Arial" w:cs="Arial"/>
        </w:rPr>
        <w:t xml:space="preserve"> 2014</w:t>
      </w:r>
      <w:r w:rsidR="00AD048F">
        <w:rPr>
          <w:rFonts w:ascii="Arial" w:hAnsi="Arial" w:cs="Arial"/>
        </w:rPr>
        <w:t xml:space="preserve"> г. составила 44931 руб./кв.м.</w:t>
      </w:r>
      <w:r w:rsidRPr="00D37D52">
        <w:rPr>
          <w:rFonts w:ascii="Arial" w:hAnsi="Arial" w:cs="Arial"/>
        </w:rPr>
        <w:t>, темп прироста к прошлому месяцу –</w:t>
      </w:r>
      <w:r w:rsidR="005830C0">
        <w:rPr>
          <w:rFonts w:ascii="Arial" w:hAnsi="Arial" w:cs="Arial"/>
        </w:rPr>
        <w:t xml:space="preserve"> 0,33</w:t>
      </w:r>
      <w:r w:rsidRPr="00D37D52">
        <w:rPr>
          <w:rFonts w:ascii="Arial" w:hAnsi="Arial" w:cs="Arial"/>
        </w:rPr>
        <w:t xml:space="preserve"> % (</w:t>
      </w:r>
      <w:proofErr w:type="spellStart"/>
      <w:r w:rsidR="005830C0">
        <w:rPr>
          <w:rFonts w:ascii="Calibri" w:hAnsi="Calibri" w:cs="Calibri"/>
        </w:rPr>
        <w:t>↓</w:t>
      </w:r>
      <w:proofErr w:type="spellEnd"/>
      <w:r w:rsidRPr="00D37D52">
        <w:rPr>
          <w:rFonts w:ascii="Arial" w:hAnsi="Arial" w:cs="Arial"/>
        </w:rPr>
        <w:t>).</w:t>
      </w:r>
    </w:p>
    <w:p w:rsidR="00AD048F" w:rsidRDefault="00AD048F" w:rsidP="00AD048F">
      <w:pPr>
        <w:ind w:firstLine="709"/>
        <w:jc w:val="center"/>
        <w:rPr>
          <w:rFonts w:ascii="Arial" w:hAnsi="Arial" w:cs="Arial"/>
        </w:rPr>
      </w:pPr>
      <w:r w:rsidRPr="00AD048F">
        <w:rPr>
          <w:rFonts w:ascii="Arial" w:hAnsi="Arial" w:cs="Arial"/>
          <w:noProof/>
        </w:rPr>
        <w:drawing>
          <wp:inline distT="0" distB="0" distL="0" distR="0">
            <wp:extent cx="4572000" cy="2743200"/>
            <wp:effectExtent l="0" t="0" r="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53F1" w:rsidRDefault="005253F1" w:rsidP="005253F1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5253F1" w:rsidRDefault="005253F1" w:rsidP="005830C0">
      <w:pPr>
        <w:ind w:firstLine="709"/>
        <w:jc w:val="both"/>
        <w:rPr>
          <w:rFonts w:ascii="Arial" w:hAnsi="Arial" w:cs="Arial"/>
        </w:rPr>
      </w:pPr>
      <w:proofErr w:type="gramStart"/>
      <w:r w:rsidRPr="00932572">
        <w:rPr>
          <w:rFonts w:ascii="Arial" w:hAnsi="Arial" w:cs="Arial"/>
        </w:rPr>
        <w:lastRenderedPageBreak/>
        <w:t>В разрезе по районам города удельная цена предложения на вторичном рынке в</w:t>
      </w:r>
      <w:r w:rsidR="00304C2A">
        <w:rPr>
          <w:rFonts w:ascii="Arial" w:hAnsi="Arial" w:cs="Arial"/>
        </w:rPr>
        <w:t xml:space="preserve"> </w:t>
      </w:r>
      <w:r w:rsidR="005830C0">
        <w:rPr>
          <w:rFonts w:ascii="Arial" w:hAnsi="Arial" w:cs="Arial"/>
        </w:rPr>
        <w:t>Нагорном районе составила 50723</w:t>
      </w:r>
      <w:r w:rsidRPr="00932572">
        <w:rPr>
          <w:rFonts w:ascii="Arial" w:hAnsi="Arial" w:cs="Arial"/>
        </w:rPr>
        <w:t xml:space="preserve"> рублей за квадратный метр (прирост по сравнению с предыдущим </w:t>
      </w:r>
      <w:r w:rsidR="005830C0">
        <w:rPr>
          <w:rFonts w:ascii="Arial" w:hAnsi="Arial" w:cs="Arial"/>
        </w:rPr>
        <w:t>месяцем составил 0,86</w:t>
      </w:r>
      <w:r w:rsidRPr="00932572">
        <w:rPr>
          <w:rFonts w:ascii="Arial" w:hAnsi="Arial" w:cs="Arial"/>
        </w:rPr>
        <w:t xml:space="preserve">% </w:t>
      </w:r>
      <w:r w:rsidR="00304C2A">
        <w:rPr>
          <w:rFonts w:ascii="Arial" w:hAnsi="Arial" w:cs="Arial"/>
        </w:rPr>
        <w:t>(</w:t>
      </w:r>
      <w:proofErr w:type="spellStart"/>
      <w:r w:rsidRPr="00932572">
        <w:rPr>
          <w:rFonts w:ascii="Calibri" w:hAnsi="Calibri" w:cs="Calibri"/>
        </w:rPr>
        <w:t>↓</w:t>
      </w:r>
      <w:proofErr w:type="spellEnd"/>
      <w:r w:rsidR="00477104" w:rsidRPr="00932572">
        <w:rPr>
          <w:rFonts w:ascii="Arial" w:hAnsi="Arial" w:cs="Arial"/>
        </w:rPr>
        <w:t xml:space="preserve">). Удельная цена за квадратный метр в </w:t>
      </w:r>
      <w:r w:rsidR="004643F2">
        <w:rPr>
          <w:rFonts w:ascii="Arial" w:hAnsi="Arial" w:cs="Arial"/>
        </w:rPr>
        <w:t>П</w:t>
      </w:r>
      <w:r w:rsidR="005830C0">
        <w:rPr>
          <w:rFonts w:ascii="Arial" w:hAnsi="Arial" w:cs="Arial"/>
        </w:rPr>
        <w:t>одгорном районе составила в августе 2014 г. – 40981</w:t>
      </w:r>
      <w:r w:rsidR="00477104" w:rsidRPr="00932572">
        <w:rPr>
          <w:rFonts w:ascii="Arial" w:hAnsi="Arial" w:cs="Arial"/>
        </w:rPr>
        <w:t xml:space="preserve"> рублей</w:t>
      </w:r>
      <w:r w:rsidR="005830C0">
        <w:rPr>
          <w:rFonts w:ascii="Arial" w:hAnsi="Arial" w:cs="Arial"/>
        </w:rPr>
        <w:t>, темп прироста к июлю</w:t>
      </w:r>
      <w:r w:rsidR="004643F2">
        <w:rPr>
          <w:rFonts w:ascii="Arial" w:hAnsi="Arial" w:cs="Arial"/>
        </w:rPr>
        <w:t xml:space="preserve"> </w:t>
      </w:r>
      <w:r w:rsidR="005830C0">
        <w:rPr>
          <w:rFonts w:ascii="Arial" w:hAnsi="Arial" w:cs="Arial"/>
        </w:rPr>
        <w:t>2014г. – 0,12</w:t>
      </w:r>
      <w:r w:rsidR="004643F2">
        <w:rPr>
          <w:rFonts w:ascii="Arial" w:hAnsi="Arial" w:cs="Arial"/>
        </w:rPr>
        <w:t xml:space="preserve"> (↑</w:t>
      </w:r>
      <w:r w:rsidR="00304C2A">
        <w:rPr>
          <w:rFonts w:ascii="Arial" w:hAnsi="Arial" w:cs="Arial"/>
        </w:rPr>
        <w:t>)</w:t>
      </w:r>
      <w:r w:rsidR="00477104" w:rsidRPr="00932572">
        <w:rPr>
          <w:rFonts w:ascii="Arial" w:hAnsi="Arial" w:cs="Arial"/>
        </w:rPr>
        <w:t>.</w:t>
      </w:r>
      <w:proofErr w:type="gramEnd"/>
    </w:p>
    <w:p w:rsidR="005830C0" w:rsidRPr="00932572" w:rsidRDefault="005830C0" w:rsidP="005830C0">
      <w:pPr>
        <w:ind w:firstLine="709"/>
        <w:jc w:val="center"/>
        <w:rPr>
          <w:rFonts w:ascii="Arial" w:hAnsi="Arial" w:cs="Arial"/>
        </w:rPr>
      </w:pPr>
      <w:r w:rsidRPr="005830C0">
        <w:rPr>
          <w:rFonts w:ascii="Arial" w:hAnsi="Arial" w:cs="Arial"/>
          <w:noProof/>
        </w:rPr>
        <w:drawing>
          <wp:inline distT="0" distB="0" distL="0" distR="0">
            <wp:extent cx="5153025" cy="2743200"/>
            <wp:effectExtent l="0" t="0" r="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7104" w:rsidRDefault="00477104" w:rsidP="00477104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4643F2" w:rsidRDefault="004643F2" w:rsidP="005830C0">
      <w:pPr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Наибольшая удельная цена предложения в разрезе по типу домостроения</w:t>
      </w:r>
      <w:r w:rsidR="0011054C">
        <w:rPr>
          <w:rFonts w:ascii="Arial" w:hAnsi="Arial" w:cs="Arial"/>
        </w:rPr>
        <w:t xml:space="preserve"> с</w:t>
      </w:r>
      <w:r w:rsidR="005830C0">
        <w:rPr>
          <w:rFonts w:ascii="Arial" w:hAnsi="Arial" w:cs="Arial"/>
        </w:rPr>
        <w:t>ложилась на квартиры с кирпичным типом домостроения – 50553</w:t>
      </w:r>
      <w:r w:rsidR="0011054C">
        <w:rPr>
          <w:rFonts w:ascii="Arial" w:hAnsi="Arial" w:cs="Arial"/>
        </w:rPr>
        <w:t xml:space="preserve"> руб./кв.м.</w:t>
      </w:r>
      <w:r w:rsidR="005830C0">
        <w:rPr>
          <w:rFonts w:ascii="Arial" w:hAnsi="Arial" w:cs="Arial"/>
        </w:rPr>
        <w:t>, на втором месте – с  панельным типом (50394</w:t>
      </w:r>
      <w:r w:rsidR="0011054C">
        <w:rPr>
          <w:rFonts w:ascii="Arial" w:hAnsi="Arial" w:cs="Arial"/>
        </w:rPr>
        <w:t xml:space="preserve"> руб./кв.м.), далее – в домах с блочным и моноли</w:t>
      </w:r>
      <w:r w:rsidR="005830C0">
        <w:rPr>
          <w:rFonts w:ascii="Arial" w:hAnsi="Arial" w:cs="Arial"/>
        </w:rPr>
        <w:t>тным типами домостроения – 49573 руб./кв.м. и 47901</w:t>
      </w:r>
      <w:r w:rsidR="0011054C">
        <w:rPr>
          <w:rFonts w:ascii="Arial" w:hAnsi="Arial" w:cs="Arial"/>
        </w:rPr>
        <w:t xml:space="preserve"> руб./кв.м. соответственно.</w:t>
      </w:r>
      <w:proofErr w:type="gramEnd"/>
    </w:p>
    <w:p w:rsidR="005830C0" w:rsidRDefault="005830C0" w:rsidP="005830C0">
      <w:pPr>
        <w:spacing w:line="240" w:lineRule="auto"/>
        <w:ind w:firstLine="709"/>
        <w:jc w:val="both"/>
        <w:rPr>
          <w:rFonts w:ascii="Arial" w:hAnsi="Arial" w:cs="Arial"/>
        </w:rPr>
      </w:pPr>
      <w:r w:rsidRPr="005830C0">
        <w:rPr>
          <w:rFonts w:ascii="Arial" w:hAnsi="Arial" w:cs="Arial"/>
          <w:noProof/>
        </w:rPr>
        <w:drawing>
          <wp:inline distT="0" distB="0" distL="0" distR="0">
            <wp:extent cx="4572000" cy="2743200"/>
            <wp:effectExtent l="0" t="0" r="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643F2" w:rsidRDefault="004643F2" w:rsidP="004643F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477104" w:rsidRDefault="00477104" w:rsidP="00932572">
      <w:pPr>
        <w:jc w:val="center"/>
        <w:rPr>
          <w:rFonts w:ascii="Arial" w:hAnsi="Arial" w:cs="Arial"/>
          <w:sz w:val="20"/>
          <w:szCs w:val="20"/>
        </w:rPr>
      </w:pPr>
    </w:p>
    <w:p w:rsidR="00477104" w:rsidRDefault="00477104" w:rsidP="00477104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</w:p>
    <w:p w:rsidR="00660035" w:rsidRDefault="00660035" w:rsidP="00F931C8">
      <w:pPr>
        <w:ind w:left="-705" w:right="-881"/>
        <w:jc w:val="center"/>
        <w:rPr>
          <w:rFonts w:ascii="Arial" w:hAnsi="Arial" w:cs="Arial"/>
          <w:i/>
          <w:sz w:val="16"/>
          <w:szCs w:val="16"/>
        </w:rPr>
      </w:pPr>
    </w:p>
    <w:p w:rsidR="004C5AA3" w:rsidRDefault="004C5A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60035" w:rsidRDefault="00CA7520" w:rsidP="00CA75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АНАЛИЗ ПРОДАЖ</w:t>
      </w:r>
      <w:r w:rsidR="001C32F9">
        <w:rPr>
          <w:rFonts w:ascii="Arial" w:hAnsi="Arial" w:cs="Arial"/>
          <w:b/>
        </w:rPr>
        <w:t xml:space="preserve"> НА ВТОРИЧНОМ РЫНКЕ Г.ТОБОЛЬСК</w:t>
      </w:r>
      <w:r w:rsidR="005830C0">
        <w:rPr>
          <w:rFonts w:ascii="Arial" w:hAnsi="Arial" w:cs="Arial"/>
          <w:b/>
        </w:rPr>
        <w:t xml:space="preserve"> ЗА АВГУСТ</w:t>
      </w:r>
      <w:r w:rsidR="001E3563">
        <w:rPr>
          <w:rFonts w:ascii="Arial" w:hAnsi="Arial" w:cs="Arial"/>
          <w:b/>
        </w:rPr>
        <w:t xml:space="preserve"> 2014</w:t>
      </w:r>
      <w:r>
        <w:rPr>
          <w:rFonts w:ascii="Arial" w:hAnsi="Arial" w:cs="Arial"/>
          <w:b/>
        </w:rPr>
        <w:t>Г.</w:t>
      </w:r>
    </w:p>
    <w:p w:rsidR="00334112" w:rsidRDefault="00334112" w:rsidP="005830C0">
      <w:pPr>
        <w:ind w:firstLine="709"/>
        <w:jc w:val="both"/>
        <w:rPr>
          <w:rFonts w:ascii="Arial" w:hAnsi="Arial" w:cs="Arial"/>
        </w:rPr>
      </w:pPr>
      <w:r w:rsidRPr="00932572">
        <w:rPr>
          <w:rFonts w:ascii="Arial" w:hAnsi="Arial" w:cs="Arial"/>
        </w:rPr>
        <w:t>Удельная цен</w:t>
      </w:r>
      <w:r>
        <w:rPr>
          <w:rFonts w:ascii="Arial" w:hAnsi="Arial" w:cs="Arial"/>
        </w:rPr>
        <w:t>а продажи вторичного</w:t>
      </w:r>
      <w:r w:rsidR="005830C0">
        <w:rPr>
          <w:rFonts w:ascii="Arial" w:hAnsi="Arial" w:cs="Arial"/>
        </w:rPr>
        <w:t xml:space="preserve"> жилья в августе</w:t>
      </w:r>
      <w:r w:rsidRPr="00932572">
        <w:rPr>
          <w:rFonts w:ascii="Arial" w:hAnsi="Arial" w:cs="Arial"/>
        </w:rPr>
        <w:t xml:space="preserve"> 2014 г. составила </w:t>
      </w:r>
      <w:r w:rsidR="005009DA">
        <w:rPr>
          <w:rFonts w:ascii="Arial" w:hAnsi="Arial" w:cs="Arial"/>
        </w:rPr>
        <w:t>48762 рубля</w:t>
      </w:r>
      <w:r w:rsidRPr="00932572">
        <w:rPr>
          <w:rFonts w:ascii="Arial" w:hAnsi="Arial" w:cs="Arial"/>
        </w:rPr>
        <w:t xml:space="preserve"> за кв.</w:t>
      </w:r>
      <w:r w:rsidR="005830C0">
        <w:rPr>
          <w:rFonts w:ascii="Arial" w:hAnsi="Arial" w:cs="Arial"/>
        </w:rPr>
        <w:t xml:space="preserve">м., темп прироста составил </w:t>
      </w:r>
      <w:r w:rsidR="005009DA">
        <w:rPr>
          <w:rFonts w:ascii="Arial" w:hAnsi="Arial" w:cs="Arial"/>
        </w:rPr>
        <w:t>1,44</w:t>
      </w:r>
      <w:r w:rsidRPr="00932572">
        <w:rPr>
          <w:rFonts w:ascii="Arial" w:hAnsi="Arial" w:cs="Arial"/>
        </w:rPr>
        <w:t xml:space="preserve">% </w:t>
      </w:r>
      <w:r w:rsidR="005009DA">
        <w:rPr>
          <w:rFonts w:ascii="Calibri" w:hAnsi="Calibri" w:cs="Calibri"/>
        </w:rPr>
        <w:t>(↑</w:t>
      </w:r>
      <w:r>
        <w:rPr>
          <w:rFonts w:ascii="Calibri" w:hAnsi="Calibri" w:cs="Calibri"/>
        </w:rPr>
        <w:t>)</w:t>
      </w:r>
      <w:r w:rsidRPr="00932572">
        <w:rPr>
          <w:rFonts w:ascii="Calibri" w:hAnsi="Calibri" w:cs="Calibri"/>
        </w:rPr>
        <w:t xml:space="preserve"> </w:t>
      </w:r>
      <w:r w:rsidR="005830C0">
        <w:rPr>
          <w:rFonts w:ascii="Arial" w:hAnsi="Arial" w:cs="Arial"/>
        </w:rPr>
        <w:t>по сравнению с июл</w:t>
      </w:r>
      <w:r>
        <w:rPr>
          <w:rFonts w:ascii="Arial" w:hAnsi="Arial" w:cs="Arial"/>
        </w:rPr>
        <w:t>ем</w:t>
      </w:r>
      <w:r w:rsidR="005009DA">
        <w:rPr>
          <w:rFonts w:ascii="Arial" w:hAnsi="Arial" w:cs="Arial"/>
        </w:rPr>
        <w:t xml:space="preserve"> 2014</w:t>
      </w:r>
      <w:r w:rsidRPr="00932572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 Темп прироста по сравнен</w:t>
      </w:r>
      <w:r w:rsidR="005830C0">
        <w:rPr>
          <w:rFonts w:ascii="Arial" w:hAnsi="Arial" w:cs="Arial"/>
        </w:rPr>
        <w:t xml:space="preserve">ию </w:t>
      </w:r>
      <w:r w:rsidR="005009DA">
        <w:rPr>
          <w:rFonts w:ascii="Arial" w:hAnsi="Arial" w:cs="Arial"/>
        </w:rPr>
        <w:t>с февралем 2014г.</w:t>
      </w:r>
      <w:r w:rsidR="005830C0">
        <w:rPr>
          <w:rFonts w:ascii="Arial" w:hAnsi="Arial" w:cs="Arial"/>
        </w:rPr>
        <w:t xml:space="preserve"> составил </w:t>
      </w:r>
      <w:r w:rsidR="005009DA">
        <w:rPr>
          <w:rFonts w:ascii="Arial" w:hAnsi="Arial" w:cs="Arial"/>
        </w:rPr>
        <w:t>3,29</w:t>
      </w:r>
      <w:r>
        <w:rPr>
          <w:rFonts w:ascii="Arial" w:hAnsi="Arial" w:cs="Arial"/>
        </w:rPr>
        <w:t>% (</w:t>
      </w:r>
      <w:proofErr w:type="spellStart"/>
      <w:r>
        <w:rPr>
          <w:rFonts w:ascii="Arial" w:hAnsi="Arial" w:cs="Arial"/>
        </w:rPr>
        <w:t>↓</w:t>
      </w:r>
      <w:proofErr w:type="spellEnd"/>
      <w:r>
        <w:rPr>
          <w:rFonts w:ascii="Arial" w:hAnsi="Arial" w:cs="Arial"/>
        </w:rPr>
        <w:t>).</w:t>
      </w:r>
    </w:p>
    <w:p w:rsidR="005009DA" w:rsidRDefault="005009DA" w:rsidP="005009DA">
      <w:pPr>
        <w:ind w:firstLine="709"/>
        <w:jc w:val="center"/>
        <w:rPr>
          <w:rFonts w:ascii="Arial" w:hAnsi="Arial" w:cs="Arial"/>
        </w:rPr>
      </w:pPr>
      <w:r w:rsidRPr="005009DA">
        <w:rPr>
          <w:rFonts w:ascii="Arial" w:hAnsi="Arial" w:cs="Arial"/>
          <w:noProof/>
        </w:rPr>
        <w:drawing>
          <wp:inline distT="0" distB="0" distL="0" distR="0">
            <wp:extent cx="4791075" cy="2733676"/>
            <wp:effectExtent l="0" t="0" r="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4112" w:rsidRDefault="00334112" w:rsidP="0033411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CA7520" w:rsidRDefault="00CA7520" w:rsidP="005009DA">
      <w:pPr>
        <w:ind w:firstLine="709"/>
        <w:jc w:val="both"/>
        <w:rPr>
          <w:rFonts w:ascii="Arial" w:hAnsi="Arial" w:cs="Arial"/>
        </w:rPr>
      </w:pPr>
      <w:r w:rsidRPr="00932572">
        <w:rPr>
          <w:rFonts w:ascii="Arial" w:hAnsi="Arial" w:cs="Arial"/>
        </w:rPr>
        <w:t>Наибольши</w:t>
      </w:r>
      <w:r w:rsidR="001E3563">
        <w:rPr>
          <w:rFonts w:ascii="Arial" w:hAnsi="Arial" w:cs="Arial"/>
        </w:rPr>
        <w:t xml:space="preserve">й рост продаж </w:t>
      </w:r>
      <w:r w:rsidR="005009DA">
        <w:rPr>
          <w:rFonts w:ascii="Arial" w:hAnsi="Arial" w:cs="Arial"/>
        </w:rPr>
        <w:t>наблюдался среди 1</w:t>
      </w:r>
      <w:r w:rsidRPr="00932572">
        <w:rPr>
          <w:rFonts w:ascii="Arial" w:hAnsi="Arial" w:cs="Arial"/>
        </w:rPr>
        <w:t>-комнатных ква</w:t>
      </w:r>
      <w:r w:rsidR="001E3563">
        <w:rPr>
          <w:rFonts w:ascii="Arial" w:hAnsi="Arial" w:cs="Arial"/>
        </w:rPr>
        <w:t xml:space="preserve">ртир, их доля </w:t>
      </w:r>
      <w:r w:rsidR="005009DA">
        <w:rPr>
          <w:rFonts w:ascii="Arial" w:hAnsi="Arial" w:cs="Arial"/>
        </w:rPr>
        <w:t>достигла 4</w:t>
      </w:r>
      <w:r w:rsidR="00435357">
        <w:rPr>
          <w:rFonts w:ascii="Arial" w:hAnsi="Arial" w:cs="Arial"/>
        </w:rPr>
        <w:t>7</w:t>
      </w:r>
      <w:r w:rsidR="001E3563">
        <w:rPr>
          <w:rFonts w:ascii="Arial" w:hAnsi="Arial" w:cs="Arial"/>
        </w:rPr>
        <w:t xml:space="preserve">%. Доля </w:t>
      </w:r>
      <w:r w:rsidR="005009DA">
        <w:rPr>
          <w:rFonts w:ascii="Arial" w:hAnsi="Arial" w:cs="Arial"/>
        </w:rPr>
        <w:t>2-комнатных квартир снизилась и составила 29</w:t>
      </w:r>
      <w:r w:rsidR="00435357">
        <w:rPr>
          <w:rFonts w:ascii="Arial" w:hAnsi="Arial" w:cs="Arial"/>
        </w:rPr>
        <w:t xml:space="preserve">%, доля 3-комнатных </w:t>
      </w:r>
      <w:r w:rsidR="005009DA">
        <w:rPr>
          <w:rFonts w:ascii="Arial" w:hAnsi="Arial" w:cs="Arial"/>
        </w:rPr>
        <w:t xml:space="preserve">не изменилась и составила </w:t>
      </w:r>
      <w:r w:rsidR="00435357">
        <w:rPr>
          <w:rFonts w:ascii="Arial" w:hAnsi="Arial" w:cs="Arial"/>
        </w:rPr>
        <w:t>21</w:t>
      </w:r>
      <w:r w:rsidRPr="00932572">
        <w:rPr>
          <w:rFonts w:ascii="Arial" w:hAnsi="Arial" w:cs="Arial"/>
        </w:rPr>
        <w:t xml:space="preserve">%. Доля продаж многокомнатных квартир </w:t>
      </w:r>
      <w:r w:rsidR="005009DA">
        <w:rPr>
          <w:rFonts w:ascii="Arial" w:hAnsi="Arial" w:cs="Arial"/>
        </w:rPr>
        <w:t>снизилась и составила 3</w:t>
      </w:r>
      <w:r w:rsidRPr="00932572">
        <w:rPr>
          <w:rFonts w:ascii="Arial" w:hAnsi="Arial" w:cs="Arial"/>
        </w:rPr>
        <w:t>%.</w:t>
      </w:r>
    </w:p>
    <w:p w:rsidR="005009DA" w:rsidRDefault="005009DA" w:rsidP="005009DA">
      <w:pPr>
        <w:ind w:firstLine="709"/>
        <w:jc w:val="center"/>
        <w:rPr>
          <w:rFonts w:ascii="Arial" w:hAnsi="Arial" w:cs="Arial"/>
        </w:rPr>
      </w:pPr>
      <w:r w:rsidRPr="005009DA">
        <w:rPr>
          <w:rFonts w:ascii="Arial" w:hAnsi="Arial" w:cs="Arial"/>
          <w:noProof/>
        </w:rPr>
        <w:drawing>
          <wp:inline distT="0" distB="0" distL="0" distR="0">
            <wp:extent cx="4572000" cy="2743200"/>
            <wp:effectExtent l="0" t="0" r="0" b="0"/>
            <wp:docPr id="2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4112" w:rsidRDefault="00334112" w:rsidP="0033411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334112" w:rsidRDefault="00334112" w:rsidP="00CA7520">
      <w:pPr>
        <w:jc w:val="both"/>
        <w:rPr>
          <w:rFonts w:ascii="Arial" w:hAnsi="Arial" w:cs="Arial"/>
        </w:rPr>
      </w:pPr>
    </w:p>
    <w:p w:rsidR="00334112" w:rsidRPr="00932572" w:rsidRDefault="00334112" w:rsidP="006904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Наибольшим спросом в июле 2014г. пользовались квартиры в районе Нагорный Тобольск, а именно </w:t>
      </w:r>
      <w:r w:rsidR="0069042E">
        <w:rPr>
          <w:rFonts w:ascii="Arial" w:hAnsi="Arial" w:cs="Arial"/>
        </w:rPr>
        <w:t xml:space="preserve">7А </w:t>
      </w:r>
      <w:proofErr w:type="spellStart"/>
      <w:r w:rsidR="0069042E">
        <w:rPr>
          <w:rFonts w:ascii="Arial" w:hAnsi="Arial" w:cs="Arial"/>
        </w:rPr>
        <w:t>мкр</w:t>
      </w:r>
      <w:proofErr w:type="spellEnd"/>
      <w:r w:rsidR="0069042E">
        <w:rPr>
          <w:rFonts w:ascii="Arial" w:hAnsi="Arial" w:cs="Arial"/>
        </w:rPr>
        <w:t xml:space="preserve">., 4 </w:t>
      </w:r>
      <w:proofErr w:type="spellStart"/>
      <w:r w:rsidR="0069042E">
        <w:rPr>
          <w:rFonts w:ascii="Arial" w:hAnsi="Arial" w:cs="Arial"/>
        </w:rPr>
        <w:t>мкр</w:t>
      </w:r>
      <w:proofErr w:type="spellEnd"/>
      <w:r w:rsidR="0069042E">
        <w:rPr>
          <w:rFonts w:ascii="Arial" w:hAnsi="Arial" w:cs="Arial"/>
        </w:rPr>
        <w:t xml:space="preserve">., 9 </w:t>
      </w:r>
      <w:proofErr w:type="spellStart"/>
      <w:r w:rsidR="0069042E">
        <w:rPr>
          <w:rFonts w:ascii="Arial" w:hAnsi="Arial" w:cs="Arial"/>
        </w:rPr>
        <w:t>мкр</w:t>
      </w:r>
      <w:proofErr w:type="spellEnd"/>
      <w:r w:rsidR="0069042E">
        <w:rPr>
          <w:rFonts w:ascii="Arial" w:hAnsi="Arial" w:cs="Arial"/>
        </w:rPr>
        <w:t xml:space="preserve">. и 7 </w:t>
      </w:r>
      <w:proofErr w:type="spellStart"/>
      <w:r w:rsidR="0069042E">
        <w:rPr>
          <w:rFonts w:ascii="Arial" w:hAnsi="Arial" w:cs="Arial"/>
        </w:rPr>
        <w:t>мкр</w:t>
      </w:r>
      <w:proofErr w:type="spellEnd"/>
      <w:r w:rsidR="0069042E">
        <w:rPr>
          <w:rFonts w:ascii="Arial" w:hAnsi="Arial" w:cs="Arial"/>
        </w:rPr>
        <w:t>. – 50</w:t>
      </w:r>
      <w:r w:rsidR="00AE727E">
        <w:rPr>
          <w:rFonts w:ascii="Arial" w:hAnsi="Arial" w:cs="Arial"/>
        </w:rPr>
        <w:t>% от общего объема продаж.</w:t>
      </w:r>
    </w:p>
    <w:p w:rsidR="00CA7520" w:rsidRDefault="00CA7520" w:rsidP="005009DA">
      <w:pPr>
        <w:ind w:firstLine="709"/>
        <w:jc w:val="both"/>
        <w:rPr>
          <w:rFonts w:ascii="Arial" w:hAnsi="Arial" w:cs="Arial"/>
        </w:rPr>
      </w:pPr>
      <w:r w:rsidRPr="00932572">
        <w:rPr>
          <w:rFonts w:ascii="Arial" w:hAnsi="Arial" w:cs="Arial"/>
        </w:rPr>
        <w:lastRenderedPageBreak/>
        <w:t>Средняя площадь проданных квартир на</w:t>
      </w:r>
      <w:r w:rsidR="005009DA">
        <w:rPr>
          <w:rFonts w:ascii="Arial" w:hAnsi="Arial" w:cs="Arial"/>
        </w:rPr>
        <w:t xml:space="preserve"> вторичном рынке </w:t>
      </w:r>
      <w:r w:rsidR="00731DF2">
        <w:rPr>
          <w:rFonts w:ascii="Arial" w:hAnsi="Arial" w:cs="Arial"/>
        </w:rPr>
        <w:t>составила 47</w:t>
      </w:r>
      <w:r w:rsidR="005009DA">
        <w:rPr>
          <w:rFonts w:ascii="Arial" w:hAnsi="Arial" w:cs="Arial"/>
        </w:rPr>
        <w:t>,13</w:t>
      </w:r>
      <w:r w:rsidRPr="00932572">
        <w:rPr>
          <w:rFonts w:ascii="Arial" w:hAnsi="Arial" w:cs="Arial"/>
        </w:rPr>
        <w:t xml:space="preserve"> кв</w:t>
      </w:r>
      <w:r w:rsidR="00435357">
        <w:rPr>
          <w:rFonts w:ascii="Arial" w:hAnsi="Arial" w:cs="Arial"/>
        </w:rPr>
        <w:t xml:space="preserve">.м., </w:t>
      </w:r>
      <w:r w:rsidR="005009DA">
        <w:rPr>
          <w:rFonts w:ascii="Arial" w:hAnsi="Arial" w:cs="Arial"/>
        </w:rPr>
        <w:t>темп прироста составил 5,</w:t>
      </w:r>
      <w:r w:rsidR="002359B5">
        <w:rPr>
          <w:rFonts w:ascii="Arial" w:hAnsi="Arial" w:cs="Arial"/>
        </w:rPr>
        <w:t>97</w:t>
      </w:r>
      <w:r w:rsidRPr="00932572">
        <w:rPr>
          <w:rFonts w:ascii="Arial" w:hAnsi="Arial" w:cs="Arial"/>
        </w:rPr>
        <w:t xml:space="preserve"> %</w:t>
      </w:r>
      <w:r w:rsidR="002359B5">
        <w:rPr>
          <w:rFonts w:ascii="Arial" w:hAnsi="Arial" w:cs="Arial"/>
        </w:rPr>
        <w:t>(</w:t>
      </w:r>
      <w:proofErr w:type="spellStart"/>
      <w:r w:rsidR="002359B5">
        <w:rPr>
          <w:rFonts w:ascii="Calibri" w:hAnsi="Calibri" w:cs="Calibri"/>
        </w:rPr>
        <w:t>↓</w:t>
      </w:r>
      <w:proofErr w:type="spellEnd"/>
      <w:r w:rsidR="002359B5">
        <w:rPr>
          <w:rFonts w:ascii="Calibri" w:hAnsi="Calibri" w:cs="Calibri"/>
        </w:rPr>
        <w:t>)</w:t>
      </w:r>
      <w:r w:rsidRPr="00932572">
        <w:rPr>
          <w:rFonts w:ascii="Arial" w:hAnsi="Arial" w:cs="Arial"/>
        </w:rPr>
        <w:t xml:space="preserve"> по сравнению с предыдущим месяцем.</w:t>
      </w:r>
    </w:p>
    <w:p w:rsidR="001E3563" w:rsidRDefault="001E3563" w:rsidP="005009DA">
      <w:pPr>
        <w:ind w:firstLine="709"/>
        <w:jc w:val="both"/>
        <w:rPr>
          <w:rFonts w:ascii="Arial" w:hAnsi="Arial" w:cs="Arial"/>
        </w:rPr>
      </w:pPr>
      <w:r w:rsidRPr="00334112">
        <w:rPr>
          <w:rFonts w:ascii="Arial" w:hAnsi="Arial" w:cs="Arial"/>
        </w:rPr>
        <w:t>Наибольший рост продаж</w:t>
      </w:r>
      <w:r w:rsidR="002359B5">
        <w:rPr>
          <w:rFonts w:ascii="Arial" w:hAnsi="Arial" w:cs="Arial"/>
        </w:rPr>
        <w:t xml:space="preserve"> в августе</w:t>
      </w:r>
      <w:r w:rsidR="0083396C" w:rsidRPr="00334112">
        <w:rPr>
          <w:rFonts w:ascii="Arial" w:hAnsi="Arial" w:cs="Arial"/>
        </w:rPr>
        <w:t xml:space="preserve"> 2014г.</w:t>
      </w:r>
      <w:r w:rsidRPr="00334112">
        <w:rPr>
          <w:rFonts w:ascii="Arial" w:hAnsi="Arial" w:cs="Arial"/>
        </w:rPr>
        <w:t xml:space="preserve"> наблюдался среди квартир с косметическим ремонтом, их доля </w:t>
      </w:r>
      <w:r w:rsidR="002359B5">
        <w:rPr>
          <w:rFonts w:ascii="Arial" w:hAnsi="Arial" w:cs="Arial"/>
        </w:rPr>
        <w:t xml:space="preserve">не изменилась и </w:t>
      </w:r>
      <w:r w:rsidRPr="00334112">
        <w:rPr>
          <w:rFonts w:ascii="Arial" w:hAnsi="Arial" w:cs="Arial"/>
        </w:rPr>
        <w:t xml:space="preserve">составила </w:t>
      </w:r>
      <w:r w:rsidR="00435357" w:rsidRPr="00334112">
        <w:rPr>
          <w:rFonts w:ascii="Arial" w:hAnsi="Arial" w:cs="Arial"/>
        </w:rPr>
        <w:t>74</w:t>
      </w:r>
      <w:r w:rsidRPr="00334112">
        <w:rPr>
          <w:rFonts w:ascii="Arial" w:hAnsi="Arial" w:cs="Arial"/>
        </w:rPr>
        <w:t>%, доля квартир</w:t>
      </w:r>
      <w:r w:rsidR="00435357" w:rsidRPr="00334112">
        <w:rPr>
          <w:rFonts w:ascii="Arial" w:hAnsi="Arial" w:cs="Arial"/>
        </w:rPr>
        <w:t xml:space="preserve"> с современным ремонтом</w:t>
      </w:r>
      <w:r w:rsidR="002359B5">
        <w:rPr>
          <w:rFonts w:ascii="Arial" w:hAnsi="Arial" w:cs="Arial"/>
        </w:rPr>
        <w:t xml:space="preserve"> увеличилась и составила 12</w:t>
      </w:r>
      <w:r w:rsidR="0083396C" w:rsidRPr="00334112">
        <w:rPr>
          <w:rFonts w:ascii="Arial" w:hAnsi="Arial" w:cs="Arial"/>
        </w:rPr>
        <w:t>%, дол</w:t>
      </w:r>
      <w:r w:rsidR="00435357" w:rsidRPr="00334112">
        <w:rPr>
          <w:rFonts w:ascii="Arial" w:hAnsi="Arial" w:cs="Arial"/>
        </w:rPr>
        <w:t>я квартир, требующих ремонта</w:t>
      </w:r>
      <w:r w:rsidR="002359B5">
        <w:rPr>
          <w:rFonts w:ascii="Arial" w:hAnsi="Arial" w:cs="Arial"/>
        </w:rPr>
        <w:t xml:space="preserve"> увеличилась до 7%.</w:t>
      </w:r>
    </w:p>
    <w:p w:rsidR="002359B5" w:rsidRPr="00334112" w:rsidRDefault="002359B5" w:rsidP="002359B5">
      <w:pPr>
        <w:ind w:firstLine="709"/>
        <w:jc w:val="center"/>
        <w:rPr>
          <w:rFonts w:ascii="Arial" w:hAnsi="Arial" w:cs="Arial"/>
        </w:rPr>
      </w:pPr>
      <w:r w:rsidRPr="002359B5">
        <w:rPr>
          <w:rFonts w:ascii="Arial" w:hAnsi="Arial" w:cs="Arial"/>
          <w:noProof/>
        </w:rPr>
        <w:drawing>
          <wp:inline distT="0" distB="0" distL="0" distR="0">
            <wp:extent cx="4572000" cy="2743200"/>
            <wp:effectExtent l="0" t="0" r="0" b="0"/>
            <wp:docPr id="2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3396C" w:rsidRDefault="0083396C" w:rsidP="0083396C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2014 г.</w:t>
      </w:r>
    </w:p>
    <w:p w:rsidR="0083396C" w:rsidRDefault="002359B5" w:rsidP="002359B5">
      <w:pPr>
        <w:tabs>
          <w:tab w:val="left" w:pos="331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августе</w:t>
      </w:r>
      <w:r w:rsidR="008D6794" w:rsidRPr="00334112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г. в г. Тобольск было продано 34</w:t>
      </w:r>
      <w:r w:rsidR="008D6794" w:rsidRPr="00334112">
        <w:rPr>
          <w:rFonts w:ascii="Arial" w:hAnsi="Arial" w:cs="Arial"/>
        </w:rPr>
        <w:t>% жилья повышенной комфор</w:t>
      </w:r>
      <w:r>
        <w:rPr>
          <w:rFonts w:ascii="Arial" w:hAnsi="Arial" w:cs="Arial"/>
        </w:rPr>
        <w:t>тности (индивидуальные серии), 57</w:t>
      </w:r>
      <w:r w:rsidR="008D6794" w:rsidRPr="00334112">
        <w:rPr>
          <w:rFonts w:ascii="Arial" w:hAnsi="Arial" w:cs="Arial"/>
        </w:rPr>
        <w:t>%</w:t>
      </w:r>
      <w:r w:rsidR="00586603" w:rsidRPr="00334112">
        <w:rPr>
          <w:rFonts w:ascii="Arial" w:hAnsi="Arial" w:cs="Arial"/>
        </w:rPr>
        <w:t xml:space="preserve"> -</w:t>
      </w:r>
      <w:r w:rsidR="008D6794" w:rsidRPr="00334112">
        <w:rPr>
          <w:rFonts w:ascii="Arial" w:hAnsi="Arial" w:cs="Arial"/>
        </w:rPr>
        <w:t xml:space="preserve"> типового жилья (</w:t>
      </w:r>
      <w:proofErr w:type="gramStart"/>
      <w:r w:rsidR="008D6794" w:rsidRPr="00334112">
        <w:rPr>
          <w:rFonts w:ascii="Arial" w:hAnsi="Arial" w:cs="Arial"/>
        </w:rPr>
        <w:t>омская</w:t>
      </w:r>
      <w:proofErr w:type="gramEnd"/>
      <w:r w:rsidR="008D6794" w:rsidRPr="00334112">
        <w:rPr>
          <w:rFonts w:ascii="Arial" w:hAnsi="Arial" w:cs="Arial"/>
        </w:rPr>
        <w:t xml:space="preserve">, </w:t>
      </w:r>
      <w:proofErr w:type="spellStart"/>
      <w:r w:rsidR="008D6794" w:rsidRPr="00334112">
        <w:rPr>
          <w:rFonts w:ascii="Arial" w:hAnsi="Arial" w:cs="Arial"/>
        </w:rPr>
        <w:t>тобольс</w:t>
      </w:r>
      <w:r w:rsidR="00435357" w:rsidRPr="00334112">
        <w:rPr>
          <w:rFonts w:ascii="Arial" w:hAnsi="Arial" w:cs="Arial"/>
        </w:rPr>
        <w:t>кая</w:t>
      </w:r>
      <w:proofErr w:type="spellEnd"/>
      <w:r w:rsidR="00435357" w:rsidRPr="00334112">
        <w:rPr>
          <w:rFonts w:ascii="Arial" w:hAnsi="Arial" w:cs="Arial"/>
        </w:rPr>
        <w:t xml:space="preserve">, 125 серии и т.п.) и </w:t>
      </w:r>
      <w:r>
        <w:rPr>
          <w:rFonts w:ascii="Arial" w:hAnsi="Arial" w:cs="Arial"/>
        </w:rPr>
        <w:t>всего 9</w:t>
      </w:r>
      <w:r w:rsidR="008D6794" w:rsidRPr="00334112">
        <w:rPr>
          <w:rFonts w:ascii="Arial" w:hAnsi="Arial" w:cs="Arial"/>
        </w:rPr>
        <w:t>% квартир из старого фонда (</w:t>
      </w:r>
      <w:proofErr w:type="spellStart"/>
      <w:r w:rsidR="008D6794" w:rsidRPr="00334112">
        <w:rPr>
          <w:rFonts w:ascii="Arial" w:hAnsi="Arial" w:cs="Arial"/>
        </w:rPr>
        <w:t>хрущевки</w:t>
      </w:r>
      <w:proofErr w:type="spellEnd"/>
      <w:r w:rsidR="008D6794" w:rsidRPr="00334112">
        <w:rPr>
          <w:rFonts w:ascii="Arial" w:hAnsi="Arial" w:cs="Arial"/>
        </w:rPr>
        <w:t>).</w:t>
      </w:r>
    </w:p>
    <w:p w:rsidR="002359B5" w:rsidRPr="00334112" w:rsidRDefault="002359B5" w:rsidP="002359B5">
      <w:pPr>
        <w:tabs>
          <w:tab w:val="left" w:pos="3310"/>
        </w:tabs>
        <w:ind w:firstLine="709"/>
        <w:jc w:val="center"/>
        <w:rPr>
          <w:rFonts w:ascii="Arial" w:hAnsi="Arial" w:cs="Arial"/>
        </w:rPr>
      </w:pPr>
      <w:r w:rsidRPr="002359B5">
        <w:rPr>
          <w:rFonts w:ascii="Arial" w:hAnsi="Arial" w:cs="Arial"/>
          <w:noProof/>
        </w:rPr>
        <w:drawing>
          <wp:inline distT="0" distB="0" distL="0" distR="0">
            <wp:extent cx="4572000" cy="2743200"/>
            <wp:effectExtent l="0" t="0" r="0" b="0"/>
            <wp:docPr id="3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6794" w:rsidRDefault="002359B5" w:rsidP="008D6794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И</w:t>
      </w:r>
      <w:r w:rsidR="008D6794" w:rsidRPr="00B04B98">
        <w:rPr>
          <w:rFonts w:ascii="Arial" w:hAnsi="Arial" w:cs="Arial"/>
          <w:i/>
          <w:sz w:val="16"/>
          <w:szCs w:val="16"/>
        </w:rPr>
        <w:t>сточник:</w:t>
      </w:r>
      <w:r w:rsidR="008D6794">
        <w:rPr>
          <w:rFonts w:ascii="Arial" w:hAnsi="Arial" w:cs="Arial"/>
          <w:i/>
          <w:sz w:val="16"/>
          <w:szCs w:val="16"/>
        </w:rPr>
        <w:t xml:space="preserve"> база компании </w:t>
      </w:r>
      <w:r w:rsidR="008D6794" w:rsidRPr="00B04B98">
        <w:rPr>
          <w:rFonts w:ascii="Arial" w:hAnsi="Arial" w:cs="Arial"/>
          <w:i/>
          <w:sz w:val="16"/>
          <w:szCs w:val="16"/>
        </w:rPr>
        <w:t>«Этажи»</w:t>
      </w:r>
      <w:r w:rsidR="008D6794">
        <w:rPr>
          <w:rFonts w:ascii="Arial" w:hAnsi="Arial" w:cs="Arial"/>
          <w:i/>
          <w:sz w:val="16"/>
          <w:szCs w:val="16"/>
        </w:rPr>
        <w:t>, 2014 г.</w:t>
      </w:r>
    </w:p>
    <w:p w:rsidR="008D6794" w:rsidRDefault="008D6794" w:rsidP="008D6794">
      <w:pPr>
        <w:jc w:val="center"/>
        <w:rPr>
          <w:rFonts w:ascii="Arial" w:hAnsi="Arial" w:cs="Arial"/>
          <w:sz w:val="20"/>
          <w:szCs w:val="20"/>
        </w:rPr>
      </w:pPr>
    </w:p>
    <w:p w:rsidR="008D6794" w:rsidRDefault="008D6794" w:rsidP="008D6794">
      <w:pPr>
        <w:rPr>
          <w:rFonts w:ascii="Arial" w:hAnsi="Arial" w:cs="Arial"/>
          <w:sz w:val="20"/>
          <w:szCs w:val="20"/>
        </w:rPr>
      </w:pPr>
    </w:p>
    <w:p w:rsidR="0083396C" w:rsidRPr="008D6794" w:rsidRDefault="0083396C" w:rsidP="008D6794">
      <w:pPr>
        <w:rPr>
          <w:rFonts w:ascii="Arial" w:hAnsi="Arial" w:cs="Arial"/>
          <w:sz w:val="20"/>
          <w:szCs w:val="20"/>
        </w:rPr>
        <w:sectPr w:rsidR="0083396C" w:rsidRPr="008D6794" w:rsidSect="00662C23">
          <w:type w:val="continuous"/>
          <w:pgSz w:w="11906" w:h="16838"/>
          <w:pgMar w:top="851" w:right="1134" w:bottom="1701" w:left="1134" w:header="708" w:footer="708" w:gutter="0"/>
          <w:cols w:space="315"/>
          <w:titlePg/>
          <w:docGrid w:linePitch="360"/>
        </w:sectPr>
      </w:pPr>
    </w:p>
    <w:p w:rsidR="00660035" w:rsidRDefault="00660035" w:rsidP="00660035">
      <w:pPr>
        <w:spacing w:line="360" w:lineRule="auto"/>
        <w:jc w:val="center"/>
        <w:rPr>
          <w:rFonts w:ascii="Arial" w:hAnsi="Arial" w:cs="Arial"/>
          <w:b/>
        </w:rPr>
      </w:pPr>
      <w:r w:rsidRPr="00B73D13">
        <w:rPr>
          <w:rFonts w:ascii="Arial" w:hAnsi="Arial" w:cs="Arial"/>
          <w:b/>
        </w:rPr>
        <w:lastRenderedPageBreak/>
        <w:t xml:space="preserve">ПРИЛОЖЕНИЕ №1. ЧИСЛОВАЯ ДИСКРЕТНАЯ ПРОСТРАНСТВЕННО-ПАРАМЕТРИЧЕСКАЯ МОДЕЛЬ ВТОРИЧНОГО РЫНКА Г. </w:t>
      </w:r>
      <w:r>
        <w:rPr>
          <w:rFonts w:ascii="Arial" w:hAnsi="Arial" w:cs="Arial"/>
          <w:b/>
        </w:rPr>
        <w:t>ТОБОЛЬСК</w:t>
      </w:r>
      <w:r w:rsidRPr="00B73D13">
        <w:rPr>
          <w:rFonts w:ascii="Arial" w:hAnsi="Arial" w:cs="Arial"/>
          <w:b/>
        </w:rPr>
        <w:t xml:space="preserve">. </w:t>
      </w:r>
      <w:r w:rsidR="002359B5">
        <w:rPr>
          <w:rFonts w:ascii="Arial" w:hAnsi="Arial" w:cs="Arial"/>
          <w:b/>
        </w:rPr>
        <w:t>АВГУСТ</w:t>
      </w:r>
      <w:r w:rsidR="001C32F9">
        <w:rPr>
          <w:rFonts w:ascii="Arial" w:hAnsi="Arial" w:cs="Arial"/>
          <w:b/>
        </w:rPr>
        <w:t xml:space="preserve"> 2014</w:t>
      </w:r>
      <w:r w:rsidR="007901C1">
        <w:rPr>
          <w:rFonts w:ascii="Arial" w:hAnsi="Arial" w:cs="Arial"/>
          <w:b/>
        </w:rPr>
        <w:t>Г.</w:t>
      </w:r>
    </w:p>
    <w:p w:rsidR="00660035" w:rsidRPr="00660035" w:rsidRDefault="00660035" w:rsidP="0066003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60035">
        <w:rPr>
          <w:rFonts w:ascii="Arial" w:hAnsi="Arial" w:cs="Arial"/>
          <w:sz w:val="18"/>
          <w:szCs w:val="18"/>
        </w:rPr>
        <w:t>Основные показатели</w:t>
      </w:r>
    </w:p>
    <w:tbl>
      <w:tblPr>
        <w:tblStyle w:val="a6"/>
        <w:tblW w:w="0" w:type="auto"/>
        <w:tblLook w:val="04A0"/>
      </w:tblPr>
      <w:tblGrid>
        <w:gridCol w:w="675"/>
        <w:gridCol w:w="4786"/>
      </w:tblGrid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Объем выборки, шт.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Удельная цена, руб./кв.м.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СКО, руб./к.м.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Погрешность, руб./к.м.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Погрешность, %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Min</w:t>
            </w:r>
            <w:proofErr w:type="spell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, руб./кв</w:t>
            </w:r>
            <w:proofErr w:type="gram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, руб./кв</w:t>
            </w:r>
            <w:proofErr w:type="gram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Средняя площадь,  кв.м.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СКО, кв.м.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Погрешность, кв.м.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Погрешность, %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Min</w:t>
            </w:r>
            <w:proofErr w:type="spell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, кв</w:t>
            </w:r>
            <w:proofErr w:type="gram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, кв</w:t>
            </w:r>
            <w:proofErr w:type="gram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Средняя полная цена, </w:t>
            </w:r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СКО, </w:t>
            </w:r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Погрешность, </w:t>
            </w:r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 xml:space="preserve">тыс. </w:t>
            </w: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</w:tr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Погрешность, %</w:t>
            </w:r>
          </w:p>
        </w:tc>
      </w:tr>
      <w:tr w:rsidR="00660035" w:rsidRPr="00660035" w:rsidTr="008A38F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Min</w:t>
            </w:r>
            <w:proofErr w:type="spell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</w:tr>
      <w:tr w:rsidR="00660035" w:rsidRPr="00660035" w:rsidTr="008A3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="00B103A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</w:tr>
    </w:tbl>
    <w:p w:rsidR="00660035" w:rsidRPr="00660035" w:rsidRDefault="00660035" w:rsidP="001F5AD2">
      <w:pPr>
        <w:spacing w:after="0" w:line="240" w:lineRule="auto"/>
        <w:rPr>
          <w:rFonts w:ascii="Arial" w:hAnsi="Arial" w:cs="Arial"/>
          <w:sz w:val="18"/>
          <w:szCs w:val="18"/>
        </w:rPr>
        <w:sectPr w:rsidR="00660035" w:rsidRPr="00660035" w:rsidSect="001F5AD2">
          <w:pgSz w:w="16838" w:h="11906" w:orient="landscape"/>
          <w:pgMar w:top="851" w:right="1134" w:bottom="568" w:left="709" w:header="708" w:footer="708" w:gutter="0"/>
          <w:cols w:space="315"/>
          <w:titlePg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675"/>
        <w:gridCol w:w="4786"/>
      </w:tblGrid>
      <w:tr w:rsidR="00660035" w:rsidRPr="00660035" w:rsidTr="004E2FB8">
        <w:tc>
          <w:tcPr>
            <w:tcW w:w="675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sz w:val="18"/>
                <w:szCs w:val="18"/>
              </w:rPr>
            </w:pPr>
            <w:r w:rsidRPr="00660035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4786" w:type="dxa"/>
            <w:vAlign w:val="center"/>
          </w:tcPr>
          <w:p w:rsidR="00660035" w:rsidRPr="00660035" w:rsidRDefault="00660035" w:rsidP="001F5A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0035">
              <w:rPr>
                <w:rFonts w:ascii="Arial" w:hAnsi="Arial" w:cs="Arial"/>
                <w:color w:val="000000"/>
                <w:sz w:val="18"/>
                <w:szCs w:val="18"/>
              </w:rPr>
              <w:t>Средневзвешенная удельная цена, руб./кв.м.</w:t>
            </w:r>
          </w:p>
        </w:tc>
      </w:tr>
    </w:tbl>
    <w:p w:rsidR="00E600FB" w:rsidRDefault="00E600FB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tbl>
      <w:tblPr>
        <w:tblW w:w="15939" w:type="dxa"/>
        <w:tblInd w:w="93" w:type="dxa"/>
        <w:tblLook w:val="04A0"/>
      </w:tblPr>
      <w:tblGrid>
        <w:gridCol w:w="950"/>
        <w:gridCol w:w="1053"/>
        <w:gridCol w:w="706"/>
        <w:gridCol w:w="774"/>
        <w:gridCol w:w="720"/>
        <w:gridCol w:w="572"/>
        <w:gridCol w:w="598"/>
        <w:gridCol w:w="774"/>
        <w:gridCol w:w="774"/>
        <w:gridCol w:w="495"/>
        <w:gridCol w:w="440"/>
        <w:gridCol w:w="415"/>
        <w:gridCol w:w="688"/>
        <w:gridCol w:w="599"/>
        <w:gridCol w:w="566"/>
        <w:gridCol w:w="851"/>
        <w:gridCol w:w="708"/>
        <w:gridCol w:w="938"/>
        <w:gridCol w:w="494"/>
        <w:gridCol w:w="943"/>
        <w:gridCol w:w="948"/>
        <w:gridCol w:w="933"/>
      </w:tblGrid>
      <w:tr w:rsidR="001F5AD2" w:rsidRPr="001F5AD2" w:rsidTr="007056BF">
        <w:trPr>
          <w:trHeight w:val="4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Кол-во комнат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1F5AD2" w:rsidRDefault="001F5AD2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B103A4" w:rsidRPr="00DC6559" w:rsidTr="00DC6559">
        <w:trPr>
          <w:trHeight w:val="369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Все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Все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50431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7144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27576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73529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49583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1-комн.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56074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32452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78629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1953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55733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2-комн.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51318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6011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31690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70149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2579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51322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3-комн.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48529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5994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27333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65073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48533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C6559">
              <w:rPr>
                <w:rFonts w:ascii="Arial" w:eastAsia="Times New Roman" w:hAnsi="Arial" w:cs="Arial"/>
                <w:sz w:val="16"/>
                <w:szCs w:val="16"/>
              </w:rPr>
              <w:t>многокомн</w:t>
            </w:r>
            <w:proofErr w:type="spellEnd"/>
            <w:r w:rsidRPr="00DC655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44931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4848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29570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62500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44729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Нагорный Тобольск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Все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50723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6695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29570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73214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49899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1-комн.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56605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7063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38889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78333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56450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2-комн.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5484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37019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68966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51790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C6559">
              <w:rPr>
                <w:rFonts w:ascii="Arial" w:eastAsia="Times New Roman" w:hAnsi="Arial" w:cs="Arial"/>
                <w:sz w:val="16"/>
                <w:szCs w:val="16"/>
              </w:rPr>
              <w:t>3-комн.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49020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5441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35088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65073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 w:rsidP="00B103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49026</w:t>
            </w:r>
          </w:p>
        </w:tc>
      </w:tr>
      <w:tr w:rsidR="00B103A4" w:rsidRPr="00DC6559" w:rsidTr="007056BF">
        <w:trPr>
          <w:trHeight w:val="22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A4" w:rsidRPr="00DC6559" w:rsidRDefault="00B103A4" w:rsidP="001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C6559">
              <w:rPr>
                <w:rFonts w:ascii="Arial" w:eastAsia="Times New Roman" w:hAnsi="Arial" w:cs="Arial"/>
                <w:sz w:val="16"/>
                <w:szCs w:val="16"/>
              </w:rPr>
              <w:t>многокомн</w:t>
            </w:r>
            <w:proofErr w:type="spellEnd"/>
            <w:r w:rsidRPr="00DC655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44862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4736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29570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62500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3641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A4" w:rsidRPr="00B103A4" w:rsidRDefault="00B103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3A4">
              <w:rPr>
                <w:rFonts w:ascii="Arial" w:hAnsi="Arial" w:cs="Arial"/>
                <w:color w:val="000000"/>
                <w:sz w:val="16"/>
                <w:szCs w:val="16"/>
              </w:rPr>
              <w:t>44800</w:t>
            </w:r>
          </w:p>
        </w:tc>
      </w:tr>
    </w:tbl>
    <w:p w:rsidR="001F5AD2" w:rsidRDefault="001F5AD2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  <w:sectPr w:rsidR="00DC6559" w:rsidSect="001F5AD2">
          <w:type w:val="continuous"/>
          <w:pgSz w:w="16838" w:h="11906" w:orient="landscape"/>
          <w:pgMar w:top="851" w:right="1134" w:bottom="568" w:left="709" w:header="708" w:footer="708" w:gutter="0"/>
          <w:cols w:space="315"/>
          <w:titlePg/>
          <w:docGrid w:linePitch="360"/>
        </w:sectPr>
      </w:pPr>
    </w:p>
    <w:p w:rsidR="00DC6559" w:rsidRPr="00DC6559" w:rsidRDefault="00DC6559" w:rsidP="006600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659245" cy="9411335"/>
            <wp:effectExtent l="19050" t="0" r="8255" b="0"/>
            <wp:docPr id="29" name="Рисунок 28" descr="последняя стран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яя страница 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941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559" w:rsidRPr="00DC6559" w:rsidSect="00DC6559">
      <w:pgSz w:w="11906" w:h="16838"/>
      <w:pgMar w:top="709" w:right="851" w:bottom="1134" w:left="568" w:header="708" w:footer="708" w:gutter="0"/>
      <w:cols w:space="31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55" w:rsidRDefault="00EF6F55" w:rsidP="00CD383D">
      <w:pPr>
        <w:spacing w:after="0" w:line="240" w:lineRule="auto"/>
      </w:pPr>
      <w:r>
        <w:separator/>
      </w:r>
    </w:p>
  </w:endnote>
  <w:endnote w:type="continuationSeparator" w:id="1">
    <w:p w:rsidR="00EF6F55" w:rsidRDefault="00EF6F55" w:rsidP="00CD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55" w:rsidRDefault="00EF6F55" w:rsidP="00CD383D">
      <w:pPr>
        <w:spacing w:after="0" w:line="240" w:lineRule="auto"/>
      </w:pPr>
      <w:r>
        <w:separator/>
      </w:r>
    </w:p>
  </w:footnote>
  <w:footnote w:type="continuationSeparator" w:id="1">
    <w:p w:rsidR="00EF6F55" w:rsidRDefault="00EF6F55" w:rsidP="00CD383D">
      <w:pPr>
        <w:spacing w:after="0" w:line="240" w:lineRule="auto"/>
      </w:pPr>
      <w:r>
        <w:continuationSeparator/>
      </w:r>
    </w:p>
  </w:footnote>
  <w:footnote w:id="2">
    <w:p w:rsidR="004E2FB8" w:rsidRDefault="004E2FB8" w:rsidP="004C40EB">
      <w:pPr>
        <w:pStyle w:val="ac"/>
      </w:pPr>
      <w:r>
        <w:rPr>
          <w:rStyle w:val="ae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Отчет выполнен в соответствии с методическими рекомендациями по анализу рынка недвижимости Г.М.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Стерника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принятыми Российской Гильдией Риэлторов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6ED"/>
    <w:multiLevelType w:val="hybridMultilevel"/>
    <w:tmpl w:val="48A0B4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B352F27"/>
    <w:multiLevelType w:val="hybridMultilevel"/>
    <w:tmpl w:val="59A0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036AE"/>
    <w:multiLevelType w:val="hybridMultilevel"/>
    <w:tmpl w:val="CC2896F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7866697"/>
    <w:multiLevelType w:val="hybridMultilevel"/>
    <w:tmpl w:val="1754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724BA"/>
    <w:multiLevelType w:val="hybridMultilevel"/>
    <w:tmpl w:val="382E8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1161"/>
    <w:multiLevelType w:val="hybridMultilevel"/>
    <w:tmpl w:val="C5D65E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70413C"/>
    <w:multiLevelType w:val="hybridMultilevel"/>
    <w:tmpl w:val="A5C28FD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5BA5"/>
    <w:rsid w:val="00001361"/>
    <w:rsid w:val="00003E65"/>
    <w:rsid w:val="0002386B"/>
    <w:rsid w:val="00023E18"/>
    <w:rsid w:val="00031660"/>
    <w:rsid w:val="000323DA"/>
    <w:rsid w:val="00044EB8"/>
    <w:rsid w:val="000467C2"/>
    <w:rsid w:val="00047CA7"/>
    <w:rsid w:val="000605C1"/>
    <w:rsid w:val="000628C2"/>
    <w:rsid w:val="00062F6C"/>
    <w:rsid w:val="00071CBC"/>
    <w:rsid w:val="0007286B"/>
    <w:rsid w:val="00076763"/>
    <w:rsid w:val="00086C43"/>
    <w:rsid w:val="000A1FEF"/>
    <w:rsid w:val="000A409C"/>
    <w:rsid w:val="000B5756"/>
    <w:rsid w:val="000B67B0"/>
    <w:rsid w:val="000C0B68"/>
    <w:rsid w:val="000C1194"/>
    <w:rsid w:val="000C454D"/>
    <w:rsid w:val="000C5B3D"/>
    <w:rsid w:val="000D57A6"/>
    <w:rsid w:val="000E1CD3"/>
    <w:rsid w:val="000F2467"/>
    <w:rsid w:val="000F3F04"/>
    <w:rsid w:val="00100971"/>
    <w:rsid w:val="0011054C"/>
    <w:rsid w:val="001128F5"/>
    <w:rsid w:val="001134B4"/>
    <w:rsid w:val="00121045"/>
    <w:rsid w:val="0012352F"/>
    <w:rsid w:val="00126F5E"/>
    <w:rsid w:val="001314D8"/>
    <w:rsid w:val="001363E6"/>
    <w:rsid w:val="00140739"/>
    <w:rsid w:val="00145C4B"/>
    <w:rsid w:val="00156A5A"/>
    <w:rsid w:val="001820E3"/>
    <w:rsid w:val="00185C94"/>
    <w:rsid w:val="001957C9"/>
    <w:rsid w:val="00196911"/>
    <w:rsid w:val="00197F96"/>
    <w:rsid w:val="001A4E1B"/>
    <w:rsid w:val="001B03B9"/>
    <w:rsid w:val="001B2C48"/>
    <w:rsid w:val="001B383A"/>
    <w:rsid w:val="001C034A"/>
    <w:rsid w:val="001C32F9"/>
    <w:rsid w:val="001D1367"/>
    <w:rsid w:val="001E0B30"/>
    <w:rsid w:val="001E3563"/>
    <w:rsid w:val="001F5AD2"/>
    <w:rsid w:val="00207048"/>
    <w:rsid w:val="002147AE"/>
    <w:rsid w:val="002213B9"/>
    <w:rsid w:val="00222371"/>
    <w:rsid w:val="00225F1C"/>
    <w:rsid w:val="00231C51"/>
    <w:rsid w:val="002323A4"/>
    <w:rsid w:val="002359B5"/>
    <w:rsid w:val="00264EB2"/>
    <w:rsid w:val="00266E3B"/>
    <w:rsid w:val="002712D8"/>
    <w:rsid w:val="00275AB0"/>
    <w:rsid w:val="00283307"/>
    <w:rsid w:val="0028762D"/>
    <w:rsid w:val="002951A9"/>
    <w:rsid w:val="002A41DD"/>
    <w:rsid w:val="002A75E6"/>
    <w:rsid w:val="002A7B73"/>
    <w:rsid w:val="002B2C1D"/>
    <w:rsid w:val="002B76CF"/>
    <w:rsid w:val="002D2ED4"/>
    <w:rsid w:val="002D48C3"/>
    <w:rsid w:val="002D7A8A"/>
    <w:rsid w:val="002F050F"/>
    <w:rsid w:val="002F298D"/>
    <w:rsid w:val="003019DE"/>
    <w:rsid w:val="00304C2A"/>
    <w:rsid w:val="00312440"/>
    <w:rsid w:val="00314C27"/>
    <w:rsid w:val="003214BA"/>
    <w:rsid w:val="0032195E"/>
    <w:rsid w:val="00324F7D"/>
    <w:rsid w:val="00325095"/>
    <w:rsid w:val="00325FA9"/>
    <w:rsid w:val="00327A4D"/>
    <w:rsid w:val="00334112"/>
    <w:rsid w:val="00340838"/>
    <w:rsid w:val="00354320"/>
    <w:rsid w:val="00356681"/>
    <w:rsid w:val="003673A8"/>
    <w:rsid w:val="00380B56"/>
    <w:rsid w:val="00391E05"/>
    <w:rsid w:val="003936E1"/>
    <w:rsid w:val="003940F9"/>
    <w:rsid w:val="003942D7"/>
    <w:rsid w:val="00395C07"/>
    <w:rsid w:val="003A5F4C"/>
    <w:rsid w:val="003B2FB3"/>
    <w:rsid w:val="003B76D5"/>
    <w:rsid w:val="003C0679"/>
    <w:rsid w:val="003E6EC5"/>
    <w:rsid w:val="003F15D3"/>
    <w:rsid w:val="003F309D"/>
    <w:rsid w:val="00403BD9"/>
    <w:rsid w:val="00404F32"/>
    <w:rsid w:val="00412CBC"/>
    <w:rsid w:val="00424DE7"/>
    <w:rsid w:val="0042539C"/>
    <w:rsid w:val="00431D8E"/>
    <w:rsid w:val="00435357"/>
    <w:rsid w:val="00447842"/>
    <w:rsid w:val="00450979"/>
    <w:rsid w:val="004524F7"/>
    <w:rsid w:val="00457B96"/>
    <w:rsid w:val="004643F2"/>
    <w:rsid w:val="00473544"/>
    <w:rsid w:val="00477104"/>
    <w:rsid w:val="00482AF2"/>
    <w:rsid w:val="00486322"/>
    <w:rsid w:val="004903C4"/>
    <w:rsid w:val="00492ABA"/>
    <w:rsid w:val="0049523F"/>
    <w:rsid w:val="004964DA"/>
    <w:rsid w:val="004A455F"/>
    <w:rsid w:val="004A6786"/>
    <w:rsid w:val="004B0C9D"/>
    <w:rsid w:val="004B2C8A"/>
    <w:rsid w:val="004B3D11"/>
    <w:rsid w:val="004B5F71"/>
    <w:rsid w:val="004C06AD"/>
    <w:rsid w:val="004C40EB"/>
    <w:rsid w:val="004C5AA3"/>
    <w:rsid w:val="004D29ED"/>
    <w:rsid w:val="004E06B4"/>
    <w:rsid w:val="004E2FB8"/>
    <w:rsid w:val="004E5674"/>
    <w:rsid w:val="004F3479"/>
    <w:rsid w:val="005009DA"/>
    <w:rsid w:val="00501883"/>
    <w:rsid w:val="00505DDA"/>
    <w:rsid w:val="00511F67"/>
    <w:rsid w:val="0051509C"/>
    <w:rsid w:val="005253F1"/>
    <w:rsid w:val="0052680D"/>
    <w:rsid w:val="0052727C"/>
    <w:rsid w:val="0053094E"/>
    <w:rsid w:val="0053534F"/>
    <w:rsid w:val="00535B51"/>
    <w:rsid w:val="00552C8C"/>
    <w:rsid w:val="0055585D"/>
    <w:rsid w:val="00570272"/>
    <w:rsid w:val="00570273"/>
    <w:rsid w:val="00570611"/>
    <w:rsid w:val="00571DA9"/>
    <w:rsid w:val="00573F18"/>
    <w:rsid w:val="00581958"/>
    <w:rsid w:val="005830C0"/>
    <w:rsid w:val="00584CCE"/>
    <w:rsid w:val="00586603"/>
    <w:rsid w:val="0058766F"/>
    <w:rsid w:val="00590D87"/>
    <w:rsid w:val="00592FE3"/>
    <w:rsid w:val="00594064"/>
    <w:rsid w:val="005A1080"/>
    <w:rsid w:val="005A3335"/>
    <w:rsid w:val="005A6466"/>
    <w:rsid w:val="005B084C"/>
    <w:rsid w:val="005B1571"/>
    <w:rsid w:val="005B21F1"/>
    <w:rsid w:val="005C2AFE"/>
    <w:rsid w:val="005C33BC"/>
    <w:rsid w:val="005D34BB"/>
    <w:rsid w:val="005E4FBD"/>
    <w:rsid w:val="005E5DE8"/>
    <w:rsid w:val="005F2FF0"/>
    <w:rsid w:val="00602007"/>
    <w:rsid w:val="00604DA3"/>
    <w:rsid w:val="00612DDB"/>
    <w:rsid w:val="00615811"/>
    <w:rsid w:val="006255D4"/>
    <w:rsid w:val="0064362E"/>
    <w:rsid w:val="006445C1"/>
    <w:rsid w:val="00660035"/>
    <w:rsid w:val="00661FC0"/>
    <w:rsid w:val="00662C23"/>
    <w:rsid w:val="00663331"/>
    <w:rsid w:val="00666264"/>
    <w:rsid w:val="00667DCB"/>
    <w:rsid w:val="00673866"/>
    <w:rsid w:val="0068272F"/>
    <w:rsid w:val="006862AD"/>
    <w:rsid w:val="0069042E"/>
    <w:rsid w:val="006914D9"/>
    <w:rsid w:val="00694361"/>
    <w:rsid w:val="006A4728"/>
    <w:rsid w:val="006A5320"/>
    <w:rsid w:val="006A57B9"/>
    <w:rsid w:val="006A78B3"/>
    <w:rsid w:val="006A7CFA"/>
    <w:rsid w:val="006B3818"/>
    <w:rsid w:val="006B460C"/>
    <w:rsid w:val="006C4484"/>
    <w:rsid w:val="006D3256"/>
    <w:rsid w:val="006E5013"/>
    <w:rsid w:val="006E6D91"/>
    <w:rsid w:val="006F3619"/>
    <w:rsid w:val="007056BF"/>
    <w:rsid w:val="00721AB6"/>
    <w:rsid w:val="00724DA0"/>
    <w:rsid w:val="00731DF2"/>
    <w:rsid w:val="00741593"/>
    <w:rsid w:val="00747439"/>
    <w:rsid w:val="007615E7"/>
    <w:rsid w:val="007643BB"/>
    <w:rsid w:val="007667FC"/>
    <w:rsid w:val="00767C5D"/>
    <w:rsid w:val="00773263"/>
    <w:rsid w:val="00773C57"/>
    <w:rsid w:val="00774326"/>
    <w:rsid w:val="00785BA5"/>
    <w:rsid w:val="007901C1"/>
    <w:rsid w:val="00796C81"/>
    <w:rsid w:val="0079733B"/>
    <w:rsid w:val="007A0356"/>
    <w:rsid w:val="007A5E7D"/>
    <w:rsid w:val="007D4A6E"/>
    <w:rsid w:val="007D6F78"/>
    <w:rsid w:val="007F071D"/>
    <w:rsid w:val="00801678"/>
    <w:rsid w:val="00803914"/>
    <w:rsid w:val="008049E0"/>
    <w:rsid w:val="00806E6B"/>
    <w:rsid w:val="008120BF"/>
    <w:rsid w:val="00813A8D"/>
    <w:rsid w:val="0081790E"/>
    <w:rsid w:val="00822726"/>
    <w:rsid w:val="008251E0"/>
    <w:rsid w:val="008262D0"/>
    <w:rsid w:val="0082640C"/>
    <w:rsid w:val="00826ABE"/>
    <w:rsid w:val="008316C9"/>
    <w:rsid w:val="0083396C"/>
    <w:rsid w:val="0083484C"/>
    <w:rsid w:val="00834E11"/>
    <w:rsid w:val="00845957"/>
    <w:rsid w:val="008466CB"/>
    <w:rsid w:val="00857B5C"/>
    <w:rsid w:val="008623E1"/>
    <w:rsid w:val="00864845"/>
    <w:rsid w:val="008702AA"/>
    <w:rsid w:val="00870C5E"/>
    <w:rsid w:val="00890C7D"/>
    <w:rsid w:val="008A38FF"/>
    <w:rsid w:val="008B0275"/>
    <w:rsid w:val="008B2D23"/>
    <w:rsid w:val="008D1172"/>
    <w:rsid w:val="008D2037"/>
    <w:rsid w:val="008D6794"/>
    <w:rsid w:val="008D7D99"/>
    <w:rsid w:val="008E7ED3"/>
    <w:rsid w:val="008F0080"/>
    <w:rsid w:val="008F5FAC"/>
    <w:rsid w:val="0090676C"/>
    <w:rsid w:val="00906DD2"/>
    <w:rsid w:val="009235D4"/>
    <w:rsid w:val="009263BC"/>
    <w:rsid w:val="00926822"/>
    <w:rsid w:val="00932572"/>
    <w:rsid w:val="00942ED8"/>
    <w:rsid w:val="00943103"/>
    <w:rsid w:val="00943A8E"/>
    <w:rsid w:val="00950726"/>
    <w:rsid w:val="00977931"/>
    <w:rsid w:val="00982D97"/>
    <w:rsid w:val="009855A4"/>
    <w:rsid w:val="00986E0B"/>
    <w:rsid w:val="009A4BDB"/>
    <w:rsid w:val="009A73E7"/>
    <w:rsid w:val="009A74BE"/>
    <w:rsid w:val="009B05FE"/>
    <w:rsid w:val="009B1B86"/>
    <w:rsid w:val="009B5AAD"/>
    <w:rsid w:val="009D3D1D"/>
    <w:rsid w:val="009D42EA"/>
    <w:rsid w:val="009D56EE"/>
    <w:rsid w:val="009E7324"/>
    <w:rsid w:val="009F6353"/>
    <w:rsid w:val="00A11C69"/>
    <w:rsid w:val="00A1546B"/>
    <w:rsid w:val="00A16D19"/>
    <w:rsid w:val="00A1749E"/>
    <w:rsid w:val="00A23C9B"/>
    <w:rsid w:val="00A31A8D"/>
    <w:rsid w:val="00A332E8"/>
    <w:rsid w:val="00A401F8"/>
    <w:rsid w:val="00A42996"/>
    <w:rsid w:val="00A50F15"/>
    <w:rsid w:val="00A5178C"/>
    <w:rsid w:val="00A54B47"/>
    <w:rsid w:val="00A62EEB"/>
    <w:rsid w:val="00A733A2"/>
    <w:rsid w:val="00A942BA"/>
    <w:rsid w:val="00A95010"/>
    <w:rsid w:val="00AA0F60"/>
    <w:rsid w:val="00AA16AF"/>
    <w:rsid w:val="00AA24D3"/>
    <w:rsid w:val="00AA24E2"/>
    <w:rsid w:val="00AA5F79"/>
    <w:rsid w:val="00AB3B39"/>
    <w:rsid w:val="00AB4181"/>
    <w:rsid w:val="00AC0557"/>
    <w:rsid w:val="00AD048F"/>
    <w:rsid w:val="00AE727E"/>
    <w:rsid w:val="00AF38F7"/>
    <w:rsid w:val="00B0472B"/>
    <w:rsid w:val="00B0534C"/>
    <w:rsid w:val="00B068D4"/>
    <w:rsid w:val="00B103A4"/>
    <w:rsid w:val="00B11E0A"/>
    <w:rsid w:val="00B15213"/>
    <w:rsid w:val="00B30891"/>
    <w:rsid w:val="00B354E5"/>
    <w:rsid w:val="00B35D6B"/>
    <w:rsid w:val="00B37409"/>
    <w:rsid w:val="00B50A80"/>
    <w:rsid w:val="00B52766"/>
    <w:rsid w:val="00B57811"/>
    <w:rsid w:val="00B602D2"/>
    <w:rsid w:val="00B64384"/>
    <w:rsid w:val="00B75CF2"/>
    <w:rsid w:val="00B8033C"/>
    <w:rsid w:val="00B85273"/>
    <w:rsid w:val="00B90D5E"/>
    <w:rsid w:val="00BB02EC"/>
    <w:rsid w:val="00BB399B"/>
    <w:rsid w:val="00BC3A86"/>
    <w:rsid w:val="00BC4347"/>
    <w:rsid w:val="00BC52A1"/>
    <w:rsid w:val="00BD465A"/>
    <w:rsid w:val="00BE0715"/>
    <w:rsid w:val="00BF2720"/>
    <w:rsid w:val="00BF6376"/>
    <w:rsid w:val="00BF6D80"/>
    <w:rsid w:val="00BF79EC"/>
    <w:rsid w:val="00C15615"/>
    <w:rsid w:val="00C21C05"/>
    <w:rsid w:val="00C25EA1"/>
    <w:rsid w:val="00C30FEF"/>
    <w:rsid w:val="00C313EF"/>
    <w:rsid w:val="00C341E6"/>
    <w:rsid w:val="00C356FD"/>
    <w:rsid w:val="00C44B57"/>
    <w:rsid w:val="00C512A9"/>
    <w:rsid w:val="00C6162B"/>
    <w:rsid w:val="00C62699"/>
    <w:rsid w:val="00C628A3"/>
    <w:rsid w:val="00C75E29"/>
    <w:rsid w:val="00C9630D"/>
    <w:rsid w:val="00CA2768"/>
    <w:rsid w:val="00CA3460"/>
    <w:rsid w:val="00CA7520"/>
    <w:rsid w:val="00CC14C0"/>
    <w:rsid w:val="00CC160A"/>
    <w:rsid w:val="00CC38E4"/>
    <w:rsid w:val="00CD0FD6"/>
    <w:rsid w:val="00CD383D"/>
    <w:rsid w:val="00CE265C"/>
    <w:rsid w:val="00CE4A48"/>
    <w:rsid w:val="00CF6231"/>
    <w:rsid w:val="00D07FB6"/>
    <w:rsid w:val="00D11FD8"/>
    <w:rsid w:val="00D17AD9"/>
    <w:rsid w:val="00D26916"/>
    <w:rsid w:val="00D37D52"/>
    <w:rsid w:val="00D46AC2"/>
    <w:rsid w:val="00D540ED"/>
    <w:rsid w:val="00D54465"/>
    <w:rsid w:val="00D54AB0"/>
    <w:rsid w:val="00D56881"/>
    <w:rsid w:val="00D65EB6"/>
    <w:rsid w:val="00D67C99"/>
    <w:rsid w:val="00D76296"/>
    <w:rsid w:val="00D84568"/>
    <w:rsid w:val="00D86224"/>
    <w:rsid w:val="00D91C16"/>
    <w:rsid w:val="00D94CD9"/>
    <w:rsid w:val="00DA1489"/>
    <w:rsid w:val="00DA156B"/>
    <w:rsid w:val="00DA38AB"/>
    <w:rsid w:val="00DA6717"/>
    <w:rsid w:val="00DB0288"/>
    <w:rsid w:val="00DB2310"/>
    <w:rsid w:val="00DB5DC3"/>
    <w:rsid w:val="00DB6E79"/>
    <w:rsid w:val="00DC3533"/>
    <w:rsid w:val="00DC6066"/>
    <w:rsid w:val="00DC6559"/>
    <w:rsid w:val="00DD18AB"/>
    <w:rsid w:val="00DD34A3"/>
    <w:rsid w:val="00DD6AD4"/>
    <w:rsid w:val="00DD6CA3"/>
    <w:rsid w:val="00DD7F3E"/>
    <w:rsid w:val="00DF2147"/>
    <w:rsid w:val="00DF2F2E"/>
    <w:rsid w:val="00DF64BC"/>
    <w:rsid w:val="00E11080"/>
    <w:rsid w:val="00E11C89"/>
    <w:rsid w:val="00E31047"/>
    <w:rsid w:val="00E36296"/>
    <w:rsid w:val="00E37E75"/>
    <w:rsid w:val="00E4058F"/>
    <w:rsid w:val="00E47E19"/>
    <w:rsid w:val="00E500D6"/>
    <w:rsid w:val="00E57BA7"/>
    <w:rsid w:val="00E600FB"/>
    <w:rsid w:val="00E654FD"/>
    <w:rsid w:val="00E670F1"/>
    <w:rsid w:val="00E81DE2"/>
    <w:rsid w:val="00E97470"/>
    <w:rsid w:val="00EB50E2"/>
    <w:rsid w:val="00EB50F7"/>
    <w:rsid w:val="00EC05E3"/>
    <w:rsid w:val="00EF41E8"/>
    <w:rsid w:val="00EF6F55"/>
    <w:rsid w:val="00F02295"/>
    <w:rsid w:val="00F20235"/>
    <w:rsid w:val="00F24C86"/>
    <w:rsid w:val="00F30694"/>
    <w:rsid w:val="00F31942"/>
    <w:rsid w:val="00F33892"/>
    <w:rsid w:val="00F40EC3"/>
    <w:rsid w:val="00F429C1"/>
    <w:rsid w:val="00F46CB9"/>
    <w:rsid w:val="00F500EA"/>
    <w:rsid w:val="00F54B61"/>
    <w:rsid w:val="00F636BC"/>
    <w:rsid w:val="00F661CA"/>
    <w:rsid w:val="00F6663E"/>
    <w:rsid w:val="00F71092"/>
    <w:rsid w:val="00F71120"/>
    <w:rsid w:val="00F83022"/>
    <w:rsid w:val="00F931C8"/>
    <w:rsid w:val="00F95BD2"/>
    <w:rsid w:val="00FB07F3"/>
    <w:rsid w:val="00FB21DE"/>
    <w:rsid w:val="00FC1697"/>
    <w:rsid w:val="00FC6439"/>
    <w:rsid w:val="00FE1530"/>
    <w:rsid w:val="00F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83D"/>
  </w:style>
  <w:style w:type="paragraph" w:styleId="a9">
    <w:name w:val="footer"/>
    <w:basedOn w:val="a"/>
    <w:link w:val="aa"/>
    <w:uiPriority w:val="99"/>
    <w:semiHidden/>
    <w:unhideWhenUsed/>
    <w:rsid w:val="00CD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83D"/>
  </w:style>
  <w:style w:type="character" w:styleId="ab">
    <w:name w:val="Placeholder Text"/>
    <w:basedOn w:val="a0"/>
    <w:uiPriority w:val="99"/>
    <w:semiHidden/>
    <w:rsid w:val="00F83022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197F9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7F9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7F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1\Downloads\&#1057;&#1091;&#1088;&#1075;&#1091;&#1090;%20&#1086;&#1073;&#1079;&#1086;&#1088;%20&#1074;&#1090;&#1086;&#1088;&#1080;&#1095;&#1082;&#1072;%20&#1072;&#1074;&#1075;&#1091;&#1089;&#1090;%202014%20&#1075;.%20&#1085;&#1086;&#1074;&#1086;&#1077;%20(1).xlsx" TargetMode="External"/><Relationship Id="rId1" Type="http://schemas.openxmlformats.org/officeDocument/2006/relationships/image" Target="../media/image2.jpeg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1\Desktop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72;&#1074;&#1075;&#1091;&#1089;&#1090;%202014.xls" TargetMode="External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размерам квартир г.Тобольск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effectLst>
              <a:outerShdw blurRad="431800" dist="23000" dir="5400000" rotWithShape="0">
                <a:srgbClr val="000000">
                  <a:alpha val="35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анализ!$R$15:$R$18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многокомн.</c:v>
                </c:pt>
              </c:strCache>
            </c:strRef>
          </c:cat>
          <c:val>
            <c:numRef>
              <c:f>анализ!$T$15:$T$18</c:f>
              <c:numCache>
                <c:formatCode>0.00</c:formatCode>
                <c:ptCount val="4"/>
                <c:pt idx="0">
                  <c:v>22.007722007721981</c:v>
                </c:pt>
                <c:pt idx="1">
                  <c:v>34.298584298584331</c:v>
                </c:pt>
                <c:pt idx="2">
                  <c:v>27.606177606177607</c:v>
                </c:pt>
                <c:pt idx="3">
                  <c:v>16.087516087516089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9000" t="46000" r="29000" b="45000"/>
          </a:stretch>
        </a:blipFill>
      </c:spPr>
    </c:plotArea>
    <c:plotVisOnly val="1"/>
    <c:dispBlanksAs val="zero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Динамика удельной цены продаж на вторичном рынке жилой недвижимости г.Тобольск</a:t>
            </a:r>
          </a:p>
        </c:rich>
      </c:tx>
    </c:title>
    <c:plotArea>
      <c:layout>
        <c:manualLayout>
          <c:layoutTarget val="inner"/>
          <c:xMode val="edge"/>
          <c:yMode val="edge"/>
          <c:x val="0.10501148604061562"/>
          <c:y val="0.17905390539053906"/>
          <c:w val="0.81268654272658269"/>
          <c:h val="0.62474675814038616"/>
        </c:manualLayout>
      </c:layout>
      <c:barChart>
        <c:barDir val="col"/>
        <c:grouping val="stacked"/>
        <c:ser>
          <c:idx val="1"/>
          <c:order val="1"/>
          <c:tx>
            <c:strRef>
              <c:f>анализ!$N$258</c:f>
              <c:strCache>
                <c:ptCount val="1"/>
                <c:pt idx="0">
                  <c:v>прирост к предыдущему месяцу, %</c:v>
                </c:pt>
              </c:strCache>
            </c:strRef>
          </c:tx>
          <c:spPr>
            <a:ln>
              <a:solidFill>
                <a:schemeClr val="tx1"/>
              </a:solidFill>
              <a:round/>
            </a:ln>
            <a:effectLst>
              <a:outerShdw blurRad="241300" dist="50800" dir="5400000" algn="ctr" rotWithShape="0">
                <a:srgbClr val="000000">
                  <a:alpha val="83000"/>
                </a:srgbClr>
              </a:outerShdw>
            </a:effectLst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0"/>
                  <c:y val="-1.3937277131598539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9.7560939921190526E-2"/>
                </c:manualLayout>
              </c:layout>
              <c:showVal val="1"/>
            </c:dLbl>
            <c:dLbl>
              <c:idx val="5"/>
              <c:layout>
                <c:manualLayout>
                  <c:x val="3.1777427821522417E-3"/>
                  <c:y val="-2.7873822647599918E-2"/>
                </c:manualLayout>
              </c:layout>
              <c:showVal val="1"/>
            </c:dLbl>
            <c:dLbl>
              <c:idx val="6"/>
              <c:layout>
                <c:manualLayout>
                  <c:x val="-2.6507620941020552E-3"/>
                  <c:y val="-0.1207897351405214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анализ!$O$256:$U$256</c:f>
              <c:numCache>
                <c:formatCode>mmm/yy</c:formatCode>
                <c:ptCount val="7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</c:numCache>
            </c:numRef>
          </c:cat>
          <c:val>
            <c:numRef>
              <c:f>анализ!$O$258:$U$258</c:f>
              <c:numCache>
                <c:formatCode>0.00</c:formatCode>
                <c:ptCount val="7"/>
                <c:pt idx="0">
                  <c:v>0</c:v>
                </c:pt>
                <c:pt idx="1">
                  <c:v>-1.9694565648552229</c:v>
                </c:pt>
                <c:pt idx="2">
                  <c:v>-0.55637606975944509</c:v>
                </c:pt>
                <c:pt idx="3">
                  <c:v>1.544189453125</c:v>
                </c:pt>
                <c:pt idx="4">
                  <c:v>-3.1055278395544135</c:v>
                </c:pt>
                <c:pt idx="5">
                  <c:v>-0.60172453009657112</c:v>
                </c:pt>
                <c:pt idx="6">
                  <c:v>1.4395672976908565</c:v>
                </c:pt>
              </c:numCache>
            </c:numRef>
          </c:val>
        </c:ser>
        <c:axId val="80199680"/>
        <c:axId val="80177408"/>
      </c:barChart>
      <c:lineChart>
        <c:grouping val="standard"/>
        <c:ser>
          <c:idx val="0"/>
          <c:order val="0"/>
          <c:tx>
            <c:strRef>
              <c:f>анализ!$N$257</c:f>
              <c:strCache>
                <c:ptCount val="1"/>
                <c:pt idx="0">
                  <c:v>удельная цена продажи, руб./кв.м.</c:v>
                </c:pt>
              </c:strCache>
            </c:strRef>
          </c:tx>
          <c:spPr>
            <a:ln w="28575">
              <a:prstDash val="sysDash"/>
            </a:ln>
          </c:spPr>
          <c:marker>
            <c:symbol val="circle"/>
            <c:size val="7"/>
            <c:spPr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-2.8933092224231471E-2"/>
                  <c:y val="-5.1103349482528287E-2"/>
                </c:manualLayout>
              </c:layout>
              <c:showVal val="1"/>
            </c:dLbl>
            <c:dLbl>
              <c:idx val="1"/>
              <c:layout>
                <c:manualLayout>
                  <c:x val="-3.3755274261603352E-2"/>
                  <c:y val="-6.0394867570260712E-2"/>
                </c:manualLayout>
              </c:layout>
              <c:showVal val="1"/>
            </c:dLbl>
            <c:dLbl>
              <c:idx val="2"/>
              <c:layout>
                <c:manualLayout>
                  <c:x val="-5.0632911392405132E-2"/>
                  <c:y val="-5.5749108526394267E-2"/>
                </c:manualLayout>
              </c:layout>
              <c:showVal val="1"/>
            </c:dLbl>
            <c:dLbl>
              <c:idx val="3"/>
              <c:layout>
                <c:manualLayout>
                  <c:x val="-2.4110910186859652E-2"/>
                  <c:y val="-6.9686385657993122E-2"/>
                </c:manualLayout>
              </c:layout>
              <c:showVal val="1"/>
            </c:dLbl>
            <c:dLbl>
              <c:idx val="4"/>
              <c:layout>
                <c:manualLayout>
                  <c:x val="-2.1699819168173949E-2"/>
                  <c:y val="-6.9686385657993122E-2"/>
                </c:manualLayout>
              </c:layout>
              <c:showVal val="1"/>
            </c:dLbl>
            <c:dLbl>
              <c:idx val="5"/>
              <c:layout>
                <c:manualLayout>
                  <c:x val="-2.1699819168173876E-2"/>
                  <c:y val="-4.181183139479587E-2"/>
                </c:manualLayout>
              </c:layout>
              <c:showVal val="1"/>
            </c:dLbl>
            <c:dLbl>
              <c:idx val="6"/>
              <c:layout>
                <c:manualLayout>
                  <c:x val="-4.4273571171396832E-2"/>
                  <c:y val="-5.574910852639443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анализ!$O$256:$U$256</c:f>
              <c:numCache>
                <c:formatCode>mmm/yy</c:formatCode>
                <c:ptCount val="7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</c:numCache>
            </c:numRef>
          </c:cat>
          <c:val>
            <c:numRef>
              <c:f>анализ!$O$257:$U$257</c:f>
              <c:numCache>
                <c:formatCode>General</c:formatCode>
                <c:ptCount val="7"/>
                <c:pt idx="0">
                  <c:v>50420</c:v>
                </c:pt>
                <c:pt idx="1">
                  <c:v>49427</c:v>
                </c:pt>
                <c:pt idx="2">
                  <c:v>49152</c:v>
                </c:pt>
                <c:pt idx="3">
                  <c:v>49911</c:v>
                </c:pt>
                <c:pt idx="4">
                  <c:v>48361</c:v>
                </c:pt>
                <c:pt idx="5">
                  <c:v>48070</c:v>
                </c:pt>
                <c:pt idx="6">
                  <c:v>48762</c:v>
                </c:pt>
              </c:numCache>
            </c:numRef>
          </c:val>
          <c:smooth val="1"/>
        </c:ser>
        <c:marker val="1"/>
        <c:axId val="80175872"/>
        <c:axId val="80169984"/>
      </c:lineChart>
      <c:valAx>
        <c:axId val="80169984"/>
        <c:scaling>
          <c:orientation val="minMax"/>
          <c:max val="1000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0175872"/>
        <c:crosses val="autoZero"/>
        <c:crossBetween val="between"/>
      </c:valAx>
      <c:dateAx>
        <c:axId val="80175872"/>
        <c:scaling>
          <c:orientation val="minMax"/>
        </c:scaling>
        <c:axPos val="b"/>
        <c:numFmt formatCode="mmm/yy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0169984"/>
        <c:crosses val="autoZero"/>
        <c:auto val="1"/>
        <c:lblOffset val="100"/>
        <c:majorUnit val="1"/>
        <c:minorUnit val="1"/>
      </c:dateAx>
      <c:valAx>
        <c:axId val="80177408"/>
        <c:scaling>
          <c:orientation val="minMax"/>
          <c:max val="5"/>
        </c:scaling>
        <c:axPos val="r"/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0199680"/>
        <c:crosses val="max"/>
        <c:crossBetween val="between"/>
        <c:minorUnit val="4.0000000000000022E-2"/>
      </c:valAx>
      <c:dateAx>
        <c:axId val="80199680"/>
        <c:scaling>
          <c:orientation val="minMax"/>
        </c:scaling>
        <c:delete val="1"/>
        <c:axPos val="b"/>
        <c:numFmt formatCode="mmm/yy" sourceLinked="1"/>
        <c:tickLblPos val="none"/>
        <c:crossAx val="80177408"/>
        <c:crosses val="autoZero"/>
        <c:auto val="1"/>
        <c:lblOffset val="100"/>
        <c:majorUnit val="1"/>
        <c:minorUnit val="1"/>
      </c:date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2000" t="39000" r="25000" b="37000"/>
          </a:stretch>
        </a:blipFill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/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продаж на вторичном рынке жилой недвижимости по размерам квартир г.Тобольск</a:t>
            </a:r>
          </a:p>
        </c:rich>
      </c:tx>
    </c:title>
    <c:plotArea>
      <c:layout/>
      <c:doughnutChart>
        <c:varyColors val="1"/>
        <c:ser>
          <c:idx val="0"/>
          <c:order val="0"/>
          <c:spPr>
            <a:ln>
              <a:solidFill>
                <a:sysClr val="window" lastClr="FFFFFF"/>
              </a:solidFill>
            </a:ln>
            <a:effectLst>
              <a:outerShdw blurRad="457200" dist="23000" dir="5400000" rotWithShape="0">
                <a:srgbClr val="000000">
                  <a:alpha val="35000"/>
                </a:srgbClr>
              </a:outerShdw>
            </a:effectLst>
          </c:spPr>
          <c:dLbls>
            <c:dLbl>
              <c:idx val="0"/>
              <c:layout>
                <c:manualLayout>
                  <c:x val="2.7777777777777991E-3"/>
                  <c:y val="6.4814814814815047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05"/>
                  <c:y val="-9.2596237970253726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анализ!$R$189:$R$192</c:f>
              <c:strCache>
                <c:ptCount val="4"/>
                <c:pt idx="0">
                  <c:v>1-комн</c:v>
                </c:pt>
                <c:pt idx="1">
                  <c:v>2-комн</c:v>
                </c:pt>
                <c:pt idx="2">
                  <c:v>3-комн</c:v>
                </c:pt>
                <c:pt idx="3">
                  <c:v>4-комн</c:v>
                </c:pt>
              </c:strCache>
            </c:strRef>
          </c:cat>
          <c:val>
            <c:numRef>
              <c:f>анализ!$T$189:$T$192</c:f>
              <c:numCache>
                <c:formatCode>0</c:formatCode>
                <c:ptCount val="4"/>
                <c:pt idx="0">
                  <c:v>47.058823529411754</c:v>
                </c:pt>
                <c:pt idx="1">
                  <c:v>29.411764705882355</c:v>
                </c:pt>
                <c:pt idx="2">
                  <c:v>20.58823529411762</c:v>
                </c:pt>
                <c:pt idx="3">
                  <c:v>2.9411764705882337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7000" t="48000" r="30000" b="44000"/>
          </a:stretch>
        </a:blipFill>
      </c:spPr>
    </c:plotArea>
    <c:plotVisOnly val="1"/>
    <c:dispBlanksAs val="zero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продаж на вторичном рынке жилой недвижимости по состоянию ремонта г.Тобольск</a:t>
            </a:r>
          </a:p>
        </c:rich>
      </c:tx>
    </c:title>
    <c:plotArea>
      <c:layout/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effectLst>
              <a:outerShdw blurRad="584200" dist="23000" dir="5400000" rotWithShape="0">
                <a:srgbClr val="000000">
                  <a:alpha val="35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</c:dLbls>
          <c:cat>
            <c:strRef>
              <c:f>анализ!$B$242:$B$244</c:f>
              <c:strCache>
                <c:ptCount val="3"/>
                <c:pt idx="0">
                  <c:v>современный ремонт</c:v>
                </c:pt>
                <c:pt idx="1">
                  <c:v>косметический ремонт</c:v>
                </c:pt>
                <c:pt idx="2">
                  <c:v>требует ремонта/частичный ремонт</c:v>
                </c:pt>
              </c:strCache>
            </c:strRef>
          </c:cat>
          <c:val>
            <c:numRef>
              <c:f>анализ!$D$242:$D$244</c:f>
              <c:numCache>
                <c:formatCode>0.00</c:formatCode>
                <c:ptCount val="3"/>
                <c:pt idx="0">
                  <c:v>11.428571428571416</c:v>
                </c:pt>
                <c:pt idx="1">
                  <c:v>74.285714285714292</c:v>
                </c:pt>
                <c:pt idx="2">
                  <c:v>14.285714285714286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7000" t="48000" r="30000" b="44000"/>
          </a:stretch>
        </a:blipFill>
      </c:spPr>
    </c:plotArea>
    <c:legend>
      <c:legendPos val="r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продаж на рынке жилой недвижимости по категориям жилья г.Тобольск</a:t>
            </a:r>
          </a:p>
        </c:rich>
      </c:tx>
    </c:title>
    <c:plotArea>
      <c:layout/>
      <c:doughnutChart>
        <c:varyColors val="1"/>
        <c:ser>
          <c:idx val="0"/>
          <c:order val="0"/>
          <c:spPr>
            <a:ln>
              <a:solidFill>
                <a:sysClr val="window" lastClr="FFFFFF"/>
              </a:solidFill>
            </a:ln>
            <a:effectLst>
              <a:outerShdw blurRad="558800" dist="23000" dir="5400000" rotWithShape="0">
                <a:srgbClr val="000000">
                  <a:alpha val="35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</c:dLbls>
          <c:cat>
            <c:strRef>
              <c:f>анализ!$B$259:$B$261</c:f>
              <c:strCache>
                <c:ptCount val="3"/>
                <c:pt idx="0">
                  <c:v>жилье повышенной комфортности</c:v>
                </c:pt>
                <c:pt idx="1">
                  <c:v>типовое жилье</c:v>
                </c:pt>
                <c:pt idx="2">
                  <c:v>старый жилой фонд</c:v>
                </c:pt>
              </c:strCache>
            </c:strRef>
          </c:cat>
          <c:val>
            <c:numRef>
              <c:f>анализ!$D$259:$D$261</c:f>
              <c:numCache>
                <c:formatCode>0.00</c:formatCode>
                <c:ptCount val="3"/>
                <c:pt idx="0">
                  <c:v>34.285714285714285</c:v>
                </c:pt>
                <c:pt idx="1">
                  <c:v>57.142857142857139</c:v>
                </c:pt>
                <c:pt idx="2">
                  <c:v>8.5714285714285712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7000" t="48000" r="30000" b="44000"/>
          </a:stretch>
        </a:blipFill>
      </c:spPr>
    </c:plotArea>
    <c:legend>
      <c:legendPos val="r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типу домостроения г.Тобольск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spPr>
            <a:ln>
              <a:solidFill>
                <a:sysClr val="window" lastClr="FFFFFF"/>
              </a:solidFill>
            </a:ln>
            <a:effectLst>
              <a:outerShdw blurRad="317500" dist="23000" dir="5400000" rotWithShape="0">
                <a:srgbClr val="000000">
                  <a:alpha val="35000"/>
                </a:srgbClr>
              </a:outerShdw>
            </a:effectLst>
          </c:spPr>
          <c:dLbls>
            <c:dLbl>
              <c:idx val="0"/>
              <c:layout>
                <c:manualLayout>
                  <c:x val="4.1666666666666664E-2"/>
                  <c:y val="1.388852435112280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2.5000000000000001E-2"/>
                  <c:y val="0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3.888888888888889E-2"/>
                  <c:y val="-7.8703703703703734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анализ!$U$63:$U$66</c:f>
              <c:strCache>
                <c:ptCount val="4"/>
                <c:pt idx="0">
                  <c:v>кирпичный</c:v>
                </c:pt>
                <c:pt idx="1">
                  <c:v>панельный</c:v>
                </c:pt>
                <c:pt idx="2">
                  <c:v>монолитно-каркасный</c:v>
                </c:pt>
                <c:pt idx="3">
                  <c:v>блочный</c:v>
                </c:pt>
              </c:strCache>
            </c:strRef>
          </c:cat>
          <c:val>
            <c:numRef>
              <c:f>анализ!$W$63:$W$66</c:f>
              <c:numCache>
                <c:formatCode>0.00</c:formatCode>
                <c:ptCount val="4"/>
                <c:pt idx="0">
                  <c:v>29.794079794079792</c:v>
                </c:pt>
                <c:pt idx="1">
                  <c:v>67.438867438867433</c:v>
                </c:pt>
                <c:pt idx="2">
                  <c:v>1.7374517374517375</c:v>
                </c:pt>
                <c:pt idx="3">
                  <c:v>1.0296010296010301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9000" t="46000" r="29000" b="45000"/>
          </a:stretch>
        </a:blipFill>
      </c:spPr>
    </c:plotArea>
    <c:plotVisOnly val="1"/>
    <c:dispBlanksAs val="zero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диапазону цен в разрезе по размерам квартир г.Тобольск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ysClr val="window" lastClr="FFFFFF"/>
              </a:solidFill>
            </a:ln>
            <a:effectLst>
              <a:outerShdw blurRad="266700" dist="23000" dir="5400000" rotWithShape="0">
                <a:srgbClr val="000000">
                  <a:alpha val="35000"/>
                </a:srgbClr>
              </a:outerShdw>
            </a:effectLst>
          </c:spPr>
          <c:dLbls>
            <c:dLbl>
              <c:idx val="6"/>
              <c:delete val="1"/>
            </c:dLbl>
            <c:dLbl>
              <c:idx val="7"/>
              <c:layout>
                <c:manualLayout>
                  <c:x val="-1.3468013468013467E-2"/>
                  <c:y val="0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7.0545922260890382E-17"/>
                  <c:y val="1.6064257028112473E-2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5.772005772005772E-3"/>
                  <c:y val="0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1.9240019240019288E-3"/>
                  <c:y val="-4.2163404273261155E-7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0"/>
                  <c:y val="1.6064257028112473E-2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0"/>
                  <c:y val="-2.1419009370816602E-2"/>
                </c:manualLayout>
              </c:layout>
              <c:dLblPos val="outEnd"/>
              <c:showVal val="1"/>
            </c:dLbl>
            <c:dLbl>
              <c:idx val="29"/>
              <c:layout>
                <c:manualLayout>
                  <c:x val="0"/>
                  <c:y val="1.6064257028112473E-2"/>
                </c:manualLayout>
              </c:layout>
              <c:dLblPos val="outEnd"/>
              <c:showVal val="1"/>
            </c:dLbl>
            <c:dLbl>
              <c:idx val="30"/>
              <c:layout>
                <c:manualLayout>
                  <c:x val="5.772005772005772E-3"/>
                  <c:y val="0"/>
                </c:manualLayout>
              </c:layout>
              <c:dLblPos val="outEnd"/>
              <c:showVal val="1"/>
            </c:dLbl>
            <c:dLbl>
              <c:idx val="31"/>
              <c:layout>
                <c:manualLayout>
                  <c:x val="1.1544011544011561E-2"/>
                  <c:y val="-5.3547523427041523E-3"/>
                </c:manualLayout>
              </c:layout>
              <c:dLblPos val="outEnd"/>
              <c:showVal val="1"/>
            </c:dLbl>
            <c:numFmt formatCode="#,##0.0" sourceLinked="0"/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multiLvlStrRef>
              <c:f>анализ!$Y$65:$Z$96</c:f>
              <c:multiLvlStrCache>
                <c:ptCount val="32"/>
                <c:lvl>
                  <c:pt idx="0">
                    <c:v>до 1000</c:v>
                  </c:pt>
                  <c:pt idx="1">
                    <c:v>1000-1500</c:v>
                  </c:pt>
                  <c:pt idx="2">
                    <c:v>1500-2000</c:v>
                  </c:pt>
                  <c:pt idx="3">
                    <c:v>2000-2500</c:v>
                  </c:pt>
                  <c:pt idx="4">
                    <c:v>2500-3000</c:v>
                  </c:pt>
                  <c:pt idx="5">
                    <c:v>3000-3500</c:v>
                  </c:pt>
                  <c:pt idx="6">
                    <c:v>3500-4000</c:v>
                  </c:pt>
                  <c:pt idx="7">
                    <c:v>более 4000</c:v>
                  </c:pt>
                  <c:pt idx="8">
                    <c:v>до 1500</c:v>
                  </c:pt>
                  <c:pt idx="9">
                    <c:v>1500-2000</c:v>
                  </c:pt>
                  <c:pt idx="10">
                    <c:v>2000-2500</c:v>
                  </c:pt>
                  <c:pt idx="11">
                    <c:v>2500-3000</c:v>
                  </c:pt>
                  <c:pt idx="12">
                    <c:v>3000-3500</c:v>
                  </c:pt>
                  <c:pt idx="13">
                    <c:v>3500-4000</c:v>
                  </c:pt>
                  <c:pt idx="14">
                    <c:v>4000-4500</c:v>
                  </c:pt>
                  <c:pt idx="15">
                    <c:v>более 4500</c:v>
                  </c:pt>
                  <c:pt idx="16">
                    <c:v>до 1500</c:v>
                  </c:pt>
                  <c:pt idx="17">
                    <c:v>1500-2000</c:v>
                  </c:pt>
                  <c:pt idx="18">
                    <c:v>2000-2500</c:v>
                  </c:pt>
                  <c:pt idx="19">
                    <c:v>2500-3000</c:v>
                  </c:pt>
                  <c:pt idx="20">
                    <c:v>3000-3500</c:v>
                  </c:pt>
                  <c:pt idx="21">
                    <c:v>3500-4000</c:v>
                  </c:pt>
                  <c:pt idx="22">
                    <c:v>4000-4500</c:v>
                  </c:pt>
                  <c:pt idx="23">
                    <c:v>более 4500</c:v>
                  </c:pt>
                  <c:pt idx="24">
                    <c:v>до 2500</c:v>
                  </c:pt>
                  <c:pt idx="25">
                    <c:v>2500-3000</c:v>
                  </c:pt>
                  <c:pt idx="26">
                    <c:v>3000-3500</c:v>
                  </c:pt>
                  <c:pt idx="27">
                    <c:v>3500-4000</c:v>
                  </c:pt>
                  <c:pt idx="28">
                    <c:v>4000-4500</c:v>
                  </c:pt>
                  <c:pt idx="29">
                    <c:v>4500-5000</c:v>
                  </c:pt>
                  <c:pt idx="30">
                    <c:v>5000-5500</c:v>
                  </c:pt>
                  <c:pt idx="31">
                    <c:v>более 5500</c:v>
                  </c:pt>
                </c:lvl>
                <c:lvl>
                  <c:pt idx="0">
                    <c:v>1-комнатные</c:v>
                  </c:pt>
                  <c:pt idx="8">
                    <c:v>2-комнатные</c:v>
                  </c:pt>
                  <c:pt idx="16">
                    <c:v>3-комнатные</c:v>
                  </c:pt>
                  <c:pt idx="24">
                    <c:v>многокомнатные</c:v>
                  </c:pt>
                </c:lvl>
              </c:multiLvlStrCache>
            </c:multiLvlStrRef>
          </c:cat>
          <c:val>
            <c:numRef>
              <c:f>анализ!$AB$65:$AB$96</c:f>
              <c:numCache>
                <c:formatCode>0.0</c:formatCode>
                <c:ptCount val="32"/>
                <c:pt idx="0">
                  <c:v>1.1695906432748528</c:v>
                </c:pt>
                <c:pt idx="1">
                  <c:v>9.649122807017541</c:v>
                </c:pt>
                <c:pt idx="2">
                  <c:v>48.245614035087719</c:v>
                </c:pt>
                <c:pt idx="3">
                  <c:v>35.380116959064324</c:v>
                </c:pt>
                <c:pt idx="4">
                  <c:v>4.970760233918134</c:v>
                </c:pt>
                <c:pt idx="5">
                  <c:v>0.29239766081871366</c:v>
                </c:pt>
                <c:pt idx="6">
                  <c:v>0</c:v>
                </c:pt>
                <c:pt idx="7">
                  <c:v>0.29239766081871366</c:v>
                </c:pt>
                <c:pt idx="8">
                  <c:v>2.0637898686679219</c:v>
                </c:pt>
                <c:pt idx="9">
                  <c:v>7.6923076923076925</c:v>
                </c:pt>
                <c:pt idx="10">
                  <c:v>41.463414634146325</c:v>
                </c:pt>
                <c:pt idx="11">
                  <c:v>33.958724202626613</c:v>
                </c:pt>
                <c:pt idx="12">
                  <c:v>8.0675422138836907</c:v>
                </c:pt>
                <c:pt idx="13">
                  <c:v>4.3151969981238274</c:v>
                </c:pt>
                <c:pt idx="14">
                  <c:v>1.5009380863039399</c:v>
                </c:pt>
                <c:pt idx="15">
                  <c:v>0.93808630393996206</c:v>
                </c:pt>
                <c:pt idx="16">
                  <c:v>0.46620046620046646</c:v>
                </c:pt>
                <c:pt idx="17">
                  <c:v>1.864801864801866</c:v>
                </c:pt>
                <c:pt idx="18">
                  <c:v>8.1585081585081607</c:v>
                </c:pt>
                <c:pt idx="19">
                  <c:v>33.79953379953384</c:v>
                </c:pt>
                <c:pt idx="20">
                  <c:v>40.09324009324007</c:v>
                </c:pt>
                <c:pt idx="21">
                  <c:v>8.1585081585081607</c:v>
                </c:pt>
                <c:pt idx="22">
                  <c:v>2.3310023310023307</c:v>
                </c:pt>
                <c:pt idx="23">
                  <c:v>5.1282051282051277</c:v>
                </c:pt>
                <c:pt idx="24" formatCode="0.00">
                  <c:v>0.8</c:v>
                </c:pt>
                <c:pt idx="25" formatCode="0.00">
                  <c:v>8</c:v>
                </c:pt>
                <c:pt idx="26" formatCode="0.00">
                  <c:v>49.6</c:v>
                </c:pt>
                <c:pt idx="27" formatCode="0.00">
                  <c:v>28.000000000000004</c:v>
                </c:pt>
                <c:pt idx="28" formatCode="0.00">
                  <c:v>6.4</c:v>
                </c:pt>
                <c:pt idx="29" formatCode="0.00">
                  <c:v>2.8000000000000003</c:v>
                </c:pt>
                <c:pt idx="30" formatCode="0.00">
                  <c:v>0.4</c:v>
                </c:pt>
                <c:pt idx="31" formatCode="0.00">
                  <c:v>4</c:v>
                </c:pt>
              </c:numCache>
            </c:numRef>
          </c:val>
        </c:ser>
        <c:gapWidth val="0"/>
        <c:axId val="72804992"/>
        <c:axId val="74154368"/>
      </c:barChart>
      <c:catAx>
        <c:axId val="728049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4154368"/>
        <c:crosses val="autoZero"/>
        <c:auto val="1"/>
        <c:lblAlgn val="ctr"/>
        <c:lblOffset val="100"/>
      </c:catAx>
      <c:valAx>
        <c:axId val="74154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</a:t>
                </a:r>
              </a:p>
            </c:rich>
          </c:tx>
          <c:layout/>
        </c:title>
        <c:numFmt formatCode="0.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2804992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31000" t="30000" r="38000" b="40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диапазонам цен в разрезе по районам г.Тобольск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ysClr val="window" lastClr="FFFFFF"/>
              </a:solidFill>
            </a:ln>
          </c:spPr>
          <c:dLbls>
            <c:dLbl>
              <c:idx val="3"/>
              <c:layout>
                <c:manualLayout>
                  <c:x val="1.6666666666666691E-2"/>
                  <c:y val="-1.2539184952978056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0555555555555582E-2"/>
                  <c:y val="-3.8313733641690482E-17"/>
                </c:manualLayout>
              </c:layout>
              <c:dLblPos val="outEnd"/>
              <c:showVal val="1"/>
            </c:dLbl>
            <c:dLbl>
              <c:idx val="13"/>
              <c:delete val="1"/>
            </c:dLbl>
            <c:dLbl>
              <c:idx val="15"/>
              <c:delete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multiLvlStrRef>
              <c:f>анализ!$R$207:$S$222</c:f>
              <c:multiLvlStrCache>
                <c:ptCount val="16"/>
                <c:lvl>
                  <c:pt idx="0">
                    <c:v>до 1500</c:v>
                  </c:pt>
                  <c:pt idx="1">
                    <c:v>1500-2000</c:v>
                  </c:pt>
                  <c:pt idx="2">
                    <c:v>2000-2500</c:v>
                  </c:pt>
                  <c:pt idx="3">
                    <c:v>2500-3000</c:v>
                  </c:pt>
                  <c:pt idx="4">
                    <c:v>3000-3500</c:v>
                  </c:pt>
                  <c:pt idx="5">
                    <c:v>3500-4000</c:v>
                  </c:pt>
                  <c:pt idx="6">
                    <c:v>4000-4500</c:v>
                  </c:pt>
                  <c:pt idx="7">
                    <c:v>более 4500</c:v>
                  </c:pt>
                  <c:pt idx="8">
                    <c:v>до 1000</c:v>
                  </c:pt>
                  <c:pt idx="9">
                    <c:v>1000-1500</c:v>
                  </c:pt>
                  <c:pt idx="10">
                    <c:v>1500-2000</c:v>
                  </c:pt>
                  <c:pt idx="11">
                    <c:v>2000-2500</c:v>
                  </c:pt>
                  <c:pt idx="12">
                    <c:v>2500-3000</c:v>
                  </c:pt>
                  <c:pt idx="13">
                    <c:v>3000-3500</c:v>
                  </c:pt>
                  <c:pt idx="14">
                    <c:v>3500-4000</c:v>
                  </c:pt>
                  <c:pt idx="15">
                    <c:v>более 4000</c:v>
                  </c:pt>
                </c:lvl>
                <c:lvl>
                  <c:pt idx="0">
                    <c:v>Нагорный р-н</c:v>
                  </c:pt>
                  <c:pt idx="8">
                    <c:v>Подгорный р-н</c:v>
                  </c:pt>
                </c:lvl>
              </c:multiLvlStrCache>
            </c:multiLvlStrRef>
          </c:cat>
          <c:val>
            <c:numRef>
              <c:f>анализ!$U$207:$U$222</c:f>
              <c:numCache>
                <c:formatCode>0.00</c:formatCode>
                <c:ptCount val="16"/>
                <c:pt idx="0">
                  <c:v>2.0134228187919478</c:v>
                </c:pt>
                <c:pt idx="1">
                  <c:v>13.489932885906052</c:v>
                </c:pt>
                <c:pt idx="2">
                  <c:v>24.026845637583889</c:v>
                </c:pt>
                <c:pt idx="3">
                  <c:v>23.825503355704686</c:v>
                </c:pt>
                <c:pt idx="4">
                  <c:v>22.818791946308725</c:v>
                </c:pt>
                <c:pt idx="5">
                  <c:v>8.4563758389261743</c:v>
                </c:pt>
                <c:pt idx="6">
                  <c:v>2.2818791946308723</c:v>
                </c:pt>
                <c:pt idx="7">
                  <c:v>3.087248322147651</c:v>
                </c:pt>
                <c:pt idx="8">
                  <c:v>6.25</c:v>
                </c:pt>
                <c:pt idx="9">
                  <c:v>25</c:v>
                </c:pt>
                <c:pt idx="10">
                  <c:v>20.3125</c:v>
                </c:pt>
                <c:pt idx="11">
                  <c:v>32.8125</c:v>
                </c:pt>
                <c:pt idx="12">
                  <c:v>12.5</c:v>
                </c:pt>
                <c:pt idx="13">
                  <c:v>0</c:v>
                </c:pt>
                <c:pt idx="14">
                  <c:v>3.125</c:v>
                </c:pt>
                <c:pt idx="15">
                  <c:v>0</c:v>
                </c:pt>
              </c:numCache>
            </c:numRef>
          </c:val>
        </c:ser>
        <c:gapWidth val="0"/>
        <c:axId val="74199808"/>
        <c:axId val="74201344"/>
      </c:barChart>
      <c:catAx>
        <c:axId val="741998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4201344"/>
        <c:crosses val="autoZero"/>
        <c:auto val="1"/>
        <c:lblAlgn val="ctr"/>
        <c:lblOffset val="100"/>
      </c:catAx>
      <c:valAx>
        <c:axId val="742013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</a:t>
                </a:r>
              </a:p>
            </c:rich>
          </c:tx>
          <c:layout/>
        </c:title>
        <c:numFmt formatCode="0.0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4199808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30000" t="36000" r="32000" b="44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диапазонам площадей в разрезе по размерам квартир г.Тобольск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ysClr val="window" lastClr="FFFFFF"/>
              </a:solidFill>
            </a:ln>
          </c:spPr>
          <c:dLbls>
            <c:dLbl>
              <c:idx val="5"/>
              <c:layout>
                <c:manualLayout>
                  <c:x val="-5.9276805275373639E-3"/>
                  <c:y val="1.388888888888891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6.8388972039652122E-4"/>
                  <c:y val="2.3148148148148147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3.8313733641690482E-17"/>
                  <c:y val="1.388888888888891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1.2539184952978056E-2"/>
                  <c:y val="-9.2592592592592865E-3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2539184952978056E-2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1.462904911180774E-2"/>
                  <c:y val="1.8518518518518542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0"/>
                  <c:y val="9.2592592592592865E-3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8.3594566353187398E-3"/>
                  <c:y val="2.3148148148148147E-2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-8.3594566353188179E-3"/>
                  <c:y val="-2.7777777777777853E-2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-1.462904911180766E-2"/>
                  <c:y val="4.6296296296296372E-3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-4.1797283176593534E-3"/>
                  <c:y val="4.6296296296296372E-3"/>
                </c:manualLayout>
              </c:layout>
              <c:dLblPos val="outEnd"/>
              <c:showVal val="1"/>
            </c:dLbl>
            <c:dLbl>
              <c:idx val="22"/>
              <c:layout>
                <c:manualLayout>
                  <c:x val="0"/>
                  <c:y val="1.8518518518518542E-2"/>
                </c:manualLayout>
              </c:layout>
              <c:dLblPos val="outEnd"/>
              <c:showVal val="1"/>
            </c:dLbl>
            <c:dLbl>
              <c:idx val="23"/>
              <c:layout>
                <c:manualLayout>
                  <c:x val="6.2695924764890314E-3"/>
                  <c:y val="2.7777777777777853E-2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6.2695924764890314E-3"/>
                  <c:y val="0"/>
                </c:manualLayout>
              </c:layout>
              <c:dLblPos val="outEnd"/>
              <c:showVal val="1"/>
            </c:dLbl>
            <c:dLbl>
              <c:idx val="25"/>
              <c:layout>
                <c:manualLayout>
                  <c:x val="6.2695924764890314E-3"/>
                  <c:y val="1.3888888888888914E-2"/>
                </c:manualLayout>
              </c:layout>
              <c:dLblPos val="outEnd"/>
              <c:showVal val="1"/>
            </c:dLbl>
            <c:dLbl>
              <c:idx val="27"/>
              <c:layout>
                <c:manualLayout>
                  <c:x val="-8.3594566353187398E-3"/>
                  <c:y val="-4.6296296296296372E-3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-1.5199670289147763E-3"/>
                  <c:y val="9.2592592592592865E-3"/>
                </c:manualLayout>
              </c:layout>
              <c:dLblPos val="outEnd"/>
              <c:showVal val="1"/>
            </c:dLbl>
            <c:dLbl>
              <c:idx val="29"/>
              <c:layout>
                <c:manualLayout>
                  <c:x val="-3.7238237782260806E-3"/>
                  <c:y val="1.3888888888888914E-2"/>
                </c:manualLayout>
              </c:layout>
              <c:dLblPos val="outEnd"/>
              <c:showVal val="1"/>
            </c:dLbl>
            <c:numFmt formatCode="#,##0.0" sourceLinked="0"/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multiLvlStrRef>
              <c:f>анализ!$R$225:$S$256</c:f>
              <c:multiLvlStrCache>
                <c:ptCount val="32"/>
                <c:lvl>
                  <c:pt idx="0">
                    <c:v>до 25</c:v>
                  </c:pt>
                  <c:pt idx="1">
                    <c:v>25-30</c:v>
                  </c:pt>
                  <c:pt idx="2">
                    <c:v>30-35</c:v>
                  </c:pt>
                  <c:pt idx="3">
                    <c:v>35-40</c:v>
                  </c:pt>
                  <c:pt idx="4">
                    <c:v>40-45</c:v>
                  </c:pt>
                  <c:pt idx="5">
                    <c:v>45-50</c:v>
                  </c:pt>
                  <c:pt idx="6">
                    <c:v>50-55</c:v>
                  </c:pt>
                  <c:pt idx="7">
                    <c:v>более 55</c:v>
                  </c:pt>
                  <c:pt idx="8">
                    <c:v>до 40</c:v>
                  </c:pt>
                  <c:pt idx="9">
                    <c:v>40-45</c:v>
                  </c:pt>
                  <c:pt idx="10">
                    <c:v>45-50</c:v>
                  </c:pt>
                  <c:pt idx="11">
                    <c:v>50-55</c:v>
                  </c:pt>
                  <c:pt idx="12">
                    <c:v>55-60</c:v>
                  </c:pt>
                  <c:pt idx="13">
                    <c:v>60-65</c:v>
                  </c:pt>
                  <c:pt idx="14">
                    <c:v>65-70</c:v>
                  </c:pt>
                  <c:pt idx="15">
                    <c:v>более 70</c:v>
                  </c:pt>
                  <c:pt idx="16">
                    <c:v>до 55</c:v>
                  </c:pt>
                  <c:pt idx="17">
                    <c:v>55-60</c:v>
                  </c:pt>
                  <c:pt idx="18">
                    <c:v>60-65</c:v>
                  </c:pt>
                  <c:pt idx="19">
                    <c:v>65-70</c:v>
                  </c:pt>
                  <c:pt idx="20">
                    <c:v>70-75</c:v>
                  </c:pt>
                  <c:pt idx="21">
                    <c:v>75-80</c:v>
                  </c:pt>
                  <c:pt idx="22">
                    <c:v>80-85</c:v>
                  </c:pt>
                  <c:pt idx="23">
                    <c:v>более 85</c:v>
                  </c:pt>
                  <c:pt idx="24">
                    <c:v>до 70</c:v>
                  </c:pt>
                  <c:pt idx="25">
                    <c:v>70-75</c:v>
                  </c:pt>
                  <c:pt idx="26">
                    <c:v>75-80</c:v>
                  </c:pt>
                  <c:pt idx="27">
                    <c:v>80-85</c:v>
                  </c:pt>
                  <c:pt idx="28">
                    <c:v>85-90</c:v>
                  </c:pt>
                  <c:pt idx="29">
                    <c:v>90-95</c:v>
                  </c:pt>
                  <c:pt idx="30">
                    <c:v>95-100</c:v>
                  </c:pt>
                  <c:pt idx="31">
                    <c:v>более 100</c:v>
                  </c:pt>
                </c:lvl>
                <c:lvl>
                  <c:pt idx="0">
                    <c:v>1-комнатные</c:v>
                  </c:pt>
                  <c:pt idx="8">
                    <c:v>2-комнатные</c:v>
                  </c:pt>
                  <c:pt idx="16">
                    <c:v>3-комнатные</c:v>
                  </c:pt>
                  <c:pt idx="24">
                    <c:v>многокомнатные</c:v>
                  </c:pt>
                </c:lvl>
              </c:multiLvlStrCache>
            </c:multiLvlStrRef>
          </c:cat>
          <c:val>
            <c:numRef>
              <c:f>анализ!$U$225:$U$256</c:f>
              <c:numCache>
                <c:formatCode>0.00</c:formatCode>
                <c:ptCount val="32"/>
                <c:pt idx="0">
                  <c:v>1.7543859649122824</c:v>
                </c:pt>
                <c:pt idx="1">
                  <c:v>20.760233918128627</c:v>
                </c:pt>
                <c:pt idx="2">
                  <c:v>30.409356725146196</c:v>
                </c:pt>
                <c:pt idx="3">
                  <c:v>23.976608187134502</c:v>
                </c:pt>
                <c:pt idx="4">
                  <c:v>20.175438596491226</c:v>
                </c:pt>
                <c:pt idx="5">
                  <c:v>1.7543859649122824</c:v>
                </c:pt>
                <c:pt idx="6">
                  <c:v>0.87719298245614064</c:v>
                </c:pt>
                <c:pt idx="7">
                  <c:v>0.29239766081871366</c:v>
                </c:pt>
                <c:pt idx="8">
                  <c:v>3.0018761726078798</c:v>
                </c:pt>
                <c:pt idx="9">
                  <c:v>24.202626641651015</c:v>
                </c:pt>
                <c:pt idx="10">
                  <c:v>19.699812382739196</c:v>
                </c:pt>
                <c:pt idx="11">
                  <c:v>37.898686679174475</c:v>
                </c:pt>
                <c:pt idx="12">
                  <c:v>6.191369606003752</c:v>
                </c:pt>
                <c:pt idx="13">
                  <c:v>4.1275797373358296</c:v>
                </c:pt>
                <c:pt idx="14">
                  <c:v>2.4390243902439024</c:v>
                </c:pt>
                <c:pt idx="15">
                  <c:v>2.4390243902439024</c:v>
                </c:pt>
                <c:pt idx="16">
                  <c:v>4.6620046620046605</c:v>
                </c:pt>
                <c:pt idx="17">
                  <c:v>19.580419580419566</c:v>
                </c:pt>
                <c:pt idx="18">
                  <c:v>32.400932400932405</c:v>
                </c:pt>
                <c:pt idx="19">
                  <c:v>31.701631701631687</c:v>
                </c:pt>
                <c:pt idx="20">
                  <c:v>2.3310023310023307</c:v>
                </c:pt>
                <c:pt idx="21">
                  <c:v>1.864801864801866</c:v>
                </c:pt>
                <c:pt idx="22">
                  <c:v>3.0303030303030303</c:v>
                </c:pt>
                <c:pt idx="23">
                  <c:v>4.4289044289044286</c:v>
                </c:pt>
                <c:pt idx="24">
                  <c:v>7.1999999999999975</c:v>
                </c:pt>
                <c:pt idx="25">
                  <c:v>4</c:v>
                </c:pt>
                <c:pt idx="26">
                  <c:v>12</c:v>
                </c:pt>
                <c:pt idx="27">
                  <c:v>65.2</c:v>
                </c:pt>
                <c:pt idx="28">
                  <c:v>4.3999999999999995</c:v>
                </c:pt>
                <c:pt idx="29">
                  <c:v>0.8</c:v>
                </c:pt>
                <c:pt idx="30">
                  <c:v>0.4</c:v>
                </c:pt>
                <c:pt idx="31">
                  <c:v>6</c:v>
                </c:pt>
              </c:numCache>
            </c:numRef>
          </c:val>
        </c:ser>
        <c:gapWidth val="0"/>
        <c:axId val="74225536"/>
        <c:axId val="74227072"/>
      </c:barChart>
      <c:catAx>
        <c:axId val="742255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4227072"/>
        <c:crosses val="autoZero"/>
        <c:auto val="1"/>
        <c:lblAlgn val="ctr"/>
        <c:lblOffset val="100"/>
      </c:catAx>
      <c:valAx>
        <c:axId val="742270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</a:t>
                </a:r>
              </a:p>
            </c:rich>
          </c:tx>
        </c:title>
        <c:numFmt formatCode="0.0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4225536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31000" t="33000" r="36000" b="44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Динамика удельной цены предложения на вторичном рынке жилой недвижимости г.Тобольск</a:t>
            </a:r>
          </a:p>
        </c:rich>
      </c:tx>
    </c:title>
    <c:plotArea>
      <c:layout>
        <c:manualLayout>
          <c:layoutTarget val="inner"/>
          <c:xMode val="edge"/>
          <c:yMode val="edge"/>
          <c:x val="0.10501148604061562"/>
          <c:y val="0.17905390539053906"/>
          <c:w val="0.81268654272658269"/>
          <c:h val="0.62474675814038616"/>
        </c:manualLayout>
      </c:layout>
      <c:barChart>
        <c:barDir val="col"/>
        <c:grouping val="stacked"/>
        <c:ser>
          <c:idx val="1"/>
          <c:order val="1"/>
          <c:spPr>
            <a:ln>
              <a:solidFill>
                <a:schemeClr val="tx1"/>
              </a:solidFill>
              <a:round/>
            </a:ln>
            <a:effectLst>
              <a:outerShdw blurRad="190500" dist="50800" dir="5400000" algn="ctr" rotWithShape="0">
                <a:srgbClr val="000000">
                  <a:alpha val="84000"/>
                </a:srgbClr>
              </a:outerShdw>
            </a:effectLst>
          </c:spPr>
          <c:dLbls>
            <c:dLbl>
              <c:idx val="1"/>
              <c:layout>
                <c:manualLayout>
                  <c:x val="0"/>
                  <c:y val="-1.3937277131598539E-2"/>
                </c:manualLayout>
              </c:layout>
              <c:showVal val="1"/>
            </c:dLbl>
            <c:dLbl>
              <c:idx val="5"/>
              <c:layout>
                <c:manualLayout>
                  <c:x val="-4.8221820373719046E-3"/>
                  <c:y val="5.574947433419351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анализ!$AO$103:$BA$103</c:f>
              <c:numCache>
                <c:formatCode>mmm/yy</c:formatCode>
                <c:ptCount val="13"/>
                <c:pt idx="0">
                  <c:v>41487</c:v>
                </c:pt>
                <c:pt idx="1">
                  <c:v>41518</c:v>
                </c:pt>
                <c:pt idx="2">
                  <c:v>41548</c:v>
                </c:pt>
                <c:pt idx="3">
                  <c:v>41579</c:v>
                </c:pt>
                <c:pt idx="4">
                  <c:v>41609</c:v>
                </c:pt>
                <c:pt idx="5">
                  <c:v>41640</c:v>
                </c:pt>
                <c:pt idx="6">
                  <c:v>41671</c:v>
                </c:pt>
                <c:pt idx="7">
                  <c:v>41699</c:v>
                </c:pt>
                <c:pt idx="8">
                  <c:v>41730</c:v>
                </c:pt>
                <c:pt idx="9">
                  <c:v>41760</c:v>
                </c:pt>
                <c:pt idx="10">
                  <c:v>41791</c:v>
                </c:pt>
                <c:pt idx="11">
                  <c:v>41821</c:v>
                </c:pt>
                <c:pt idx="12">
                  <c:v>41852</c:v>
                </c:pt>
              </c:numCache>
            </c:numRef>
          </c:cat>
          <c:val>
            <c:numRef>
              <c:f>анализ!$AO$105:$BA$105</c:f>
              <c:numCache>
                <c:formatCode>0.00</c:formatCode>
                <c:ptCount val="13"/>
                <c:pt idx="0">
                  <c:v>0.41637066856105803</c:v>
                </c:pt>
                <c:pt idx="1">
                  <c:v>-4.7163322656089704E-2</c:v>
                </c:pt>
                <c:pt idx="2">
                  <c:v>0.80152279462892251</c:v>
                </c:pt>
                <c:pt idx="3">
                  <c:v>-0.29611888657213131</c:v>
                </c:pt>
                <c:pt idx="4">
                  <c:v>0.3064741019873628</c:v>
                </c:pt>
                <c:pt idx="5">
                  <c:v>0.45533922677429928</c:v>
                </c:pt>
                <c:pt idx="6">
                  <c:v>8.9304781688625184E-2</c:v>
                </c:pt>
                <c:pt idx="7">
                  <c:v>-9.6000178154895463E-2</c:v>
                </c:pt>
                <c:pt idx="8">
                  <c:v>-9.6926379271451563E-3</c:v>
                </c:pt>
                <c:pt idx="9">
                  <c:v>5.5310387165064874E-2</c:v>
                </c:pt>
                <c:pt idx="10">
                  <c:v>-0.8403035184071117</c:v>
                </c:pt>
                <c:pt idx="11">
                  <c:v>-0.38359167058087024</c:v>
                </c:pt>
                <c:pt idx="12">
                  <c:v>-0.92141453831041531</c:v>
                </c:pt>
              </c:numCache>
            </c:numRef>
          </c:val>
        </c:ser>
        <c:axId val="74583424"/>
        <c:axId val="74581888"/>
      </c:barChart>
      <c:lineChart>
        <c:grouping val="standard"/>
        <c:ser>
          <c:idx val="0"/>
          <c:order val="0"/>
          <c:spPr>
            <a:ln w="28575">
              <a:prstDash val="sysDash"/>
            </a:ln>
          </c:spPr>
          <c:marker>
            <c:symbol val="circle"/>
            <c:size val="7"/>
            <c:spPr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-5.0862860892388534E-2"/>
                  <c:y val="-5.1103349482528287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3.7280701754385991E-2"/>
                  <c:y val="-4.6457590438662079E-2"/>
                </c:manualLayout>
              </c:layout>
              <c:showVal val="1"/>
            </c:dLbl>
            <c:dLbl>
              <c:idx val="11"/>
              <c:layout>
                <c:manualLayout>
                  <c:x val="-3.2894736842105261E-2"/>
                  <c:y val="-5.1103349482528287E-2"/>
                </c:manualLayout>
              </c:layout>
              <c:showVal val="1"/>
            </c:dLbl>
            <c:dLbl>
              <c:idx val="12"/>
              <c:layout>
                <c:manualLayout>
                  <c:x val="-3.9473684210526355E-2"/>
                  <c:y val="-6.039486757026071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анализ!$AO$103:$BA$103</c:f>
              <c:numCache>
                <c:formatCode>mmm/yy</c:formatCode>
                <c:ptCount val="13"/>
                <c:pt idx="0">
                  <c:v>41487</c:v>
                </c:pt>
                <c:pt idx="1">
                  <c:v>41518</c:v>
                </c:pt>
                <c:pt idx="2">
                  <c:v>41548</c:v>
                </c:pt>
                <c:pt idx="3">
                  <c:v>41579</c:v>
                </c:pt>
                <c:pt idx="4">
                  <c:v>41609</c:v>
                </c:pt>
                <c:pt idx="5">
                  <c:v>41640</c:v>
                </c:pt>
                <c:pt idx="6">
                  <c:v>41671</c:v>
                </c:pt>
                <c:pt idx="7">
                  <c:v>41699</c:v>
                </c:pt>
                <c:pt idx="8">
                  <c:v>41730</c:v>
                </c:pt>
                <c:pt idx="9">
                  <c:v>41760</c:v>
                </c:pt>
                <c:pt idx="10">
                  <c:v>41791</c:v>
                </c:pt>
                <c:pt idx="11">
                  <c:v>41821</c:v>
                </c:pt>
                <c:pt idx="12">
                  <c:v>41852</c:v>
                </c:pt>
              </c:numCache>
            </c:numRef>
          </c:cat>
          <c:val>
            <c:numRef>
              <c:f>анализ!$AO$104:$BA$104</c:f>
              <c:numCache>
                <c:formatCode>General</c:formatCode>
                <c:ptCount val="13"/>
                <c:pt idx="0">
                  <c:v>50887</c:v>
                </c:pt>
                <c:pt idx="1">
                  <c:v>50863</c:v>
                </c:pt>
                <c:pt idx="2" formatCode="0">
                  <c:v>51270.678539032153</c:v>
                </c:pt>
                <c:pt idx="3" formatCode="0">
                  <c:v>51118.856376604395</c:v>
                </c:pt>
                <c:pt idx="4" formatCode="0">
                  <c:v>51275.522432630743</c:v>
                </c:pt>
                <c:pt idx="5">
                  <c:v>51509</c:v>
                </c:pt>
                <c:pt idx="6">
                  <c:v>51555</c:v>
                </c:pt>
                <c:pt idx="7" formatCode="0">
                  <c:v>51505.507108152226</c:v>
                </c:pt>
                <c:pt idx="8" formatCode="0">
                  <c:v>51500.514865835707</c:v>
                </c:pt>
                <c:pt idx="9">
                  <c:v>51529</c:v>
                </c:pt>
                <c:pt idx="10">
                  <c:v>51096</c:v>
                </c:pt>
                <c:pt idx="11">
                  <c:v>50900</c:v>
                </c:pt>
                <c:pt idx="12">
                  <c:v>50431</c:v>
                </c:pt>
              </c:numCache>
            </c:numRef>
          </c:val>
          <c:smooth val="1"/>
        </c:ser>
        <c:marker val="1"/>
        <c:axId val="74580352"/>
        <c:axId val="73853568"/>
      </c:lineChart>
      <c:valAx>
        <c:axId val="73853568"/>
        <c:scaling>
          <c:orientation val="minMax"/>
          <c:max val="1000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4580352"/>
        <c:crosses val="autoZero"/>
        <c:crossBetween val="between"/>
      </c:valAx>
      <c:dateAx>
        <c:axId val="74580352"/>
        <c:scaling>
          <c:orientation val="minMax"/>
        </c:scaling>
        <c:axPos val="b"/>
        <c:numFmt formatCode="mmm/yy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3853568"/>
        <c:crosses val="autoZero"/>
        <c:auto val="1"/>
        <c:lblOffset val="100"/>
        <c:majorUnit val="1"/>
        <c:minorUnit val="1"/>
      </c:dateAx>
      <c:valAx>
        <c:axId val="74581888"/>
        <c:scaling>
          <c:orientation val="minMax"/>
          <c:max val="5"/>
        </c:scaling>
        <c:axPos val="r"/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4583424"/>
        <c:crosses val="max"/>
        <c:crossBetween val="between"/>
        <c:minorUnit val="4.0000000000000022E-2"/>
      </c:valAx>
      <c:dateAx>
        <c:axId val="74583424"/>
        <c:scaling>
          <c:orientation val="minMax"/>
        </c:scaling>
        <c:delete val="1"/>
        <c:axPos val="b"/>
        <c:numFmt formatCode="mmm/yy" sourceLinked="1"/>
        <c:tickLblPos val="none"/>
        <c:crossAx val="74581888"/>
        <c:crosses val="autoZero"/>
        <c:auto val="1"/>
        <c:lblOffset val="100"/>
        <c:majorUnit val="1"/>
        <c:minorUnit val="1"/>
      </c:dateAx>
      <c:spPr>
        <a:blipFill dpi="0" rotWithShape="1">
          <a:blip xmlns:r="http://schemas.openxmlformats.org/officeDocument/2006/relationships" r:embed="rId1">
            <a:alphaModFix amt="70000"/>
          </a:blip>
          <a:srcRect/>
          <a:stretch>
            <a:fillRect l="18000" t="44000" r="26000" b="33000"/>
          </a:stretch>
        </a:blipFill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Удельная цена предложения на вторичном рынке жилой недвижимости по размеру квартир г.Тобольск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effectLst>
              <a:outerShdw blurRad="457200" dist="482600" dir="2940000" sx="31000" sy="31000" rotWithShape="0">
                <a:sysClr val="windowText" lastClr="000000">
                  <a:alpha val="59000"/>
                </a:sysClr>
              </a:outerShdw>
            </a:effectLst>
          </c:spPr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анализ!$V$112:$V$115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многокомн.</c:v>
                </c:pt>
              </c:strCache>
            </c:strRef>
          </c:cat>
          <c:val>
            <c:numRef>
              <c:f>анализ!$W$112:$W$115</c:f>
              <c:numCache>
                <c:formatCode>0</c:formatCode>
                <c:ptCount val="4"/>
                <c:pt idx="0">
                  <c:v>56074.08767181365</c:v>
                </c:pt>
                <c:pt idx="1">
                  <c:v>51317.921436525008</c:v>
                </c:pt>
                <c:pt idx="2">
                  <c:v>48528.961184961576</c:v>
                </c:pt>
                <c:pt idx="3">
                  <c:v>44931.106149841558</c:v>
                </c:pt>
              </c:numCache>
            </c:numRef>
          </c:val>
        </c:ser>
        <c:axId val="79459072"/>
        <c:axId val="79460608"/>
      </c:barChart>
      <c:lineChart>
        <c:grouping val="standard"/>
        <c:ser>
          <c:idx val="1"/>
          <c:order val="1"/>
          <c:spPr>
            <a:ln w="28575">
              <a:prstDash val="sysDash"/>
            </a:ln>
          </c:spPr>
          <c:marker>
            <c:symbol val="diamond"/>
            <c:size val="7"/>
          </c:marker>
          <c:dLbls>
            <c:dLbl>
              <c:idx val="2"/>
              <c:layout>
                <c:manualLayout>
                  <c:x val="-4.1666666666666664E-2"/>
                  <c:y val="9.2592592592592851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анализ!$V$112:$V$115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многокомн.</c:v>
                </c:pt>
              </c:strCache>
            </c:strRef>
          </c:cat>
          <c:val>
            <c:numRef>
              <c:f>анализ!$X$112:$X$115</c:f>
              <c:numCache>
                <c:formatCode>0.00</c:formatCode>
                <c:ptCount val="4"/>
                <c:pt idx="0">
                  <c:v>-0.96034654631768079</c:v>
                </c:pt>
                <c:pt idx="1">
                  <c:v>-0.40766974222619079</c:v>
                </c:pt>
                <c:pt idx="2">
                  <c:v>-0.70243379719159282</c:v>
                </c:pt>
                <c:pt idx="3">
                  <c:v>-0.32751017823521344</c:v>
                </c:pt>
              </c:numCache>
            </c:numRef>
          </c:val>
          <c:smooth val="1"/>
        </c:ser>
        <c:marker val="1"/>
        <c:axId val="79470592"/>
        <c:axId val="79472128"/>
      </c:lineChart>
      <c:catAx>
        <c:axId val="794590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9460608"/>
        <c:crosses val="autoZero"/>
        <c:auto val="1"/>
        <c:lblAlgn val="ctr"/>
        <c:lblOffset val="100"/>
      </c:catAx>
      <c:valAx>
        <c:axId val="7946060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9459072"/>
        <c:crosses val="autoZero"/>
        <c:crossBetween val="between"/>
      </c:valAx>
      <c:catAx>
        <c:axId val="79470592"/>
        <c:scaling>
          <c:orientation val="minMax"/>
        </c:scaling>
        <c:delete val="1"/>
        <c:axPos val="b"/>
        <c:tickLblPos val="none"/>
        <c:crossAx val="79472128"/>
        <c:crosses val="autoZero"/>
        <c:auto val="1"/>
        <c:lblAlgn val="ctr"/>
        <c:lblOffset val="100"/>
      </c:catAx>
      <c:valAx>
        <c:axId val="79472128"/>
        <c:scaling>
          <c:orientation val="minMax"/>
        </c:scaling>
        <c:axPos val="r"/>
        <c:numFmt formatCode="0.0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9470592"/>
        <c:crosses val="max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1000" t="40000" r="25000" b="40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Удельная цена на вторичном рынке жилой недвижимости по районам г.Тобольск</a:t>
            </a:r>
          </a:p>
        </c:rich>
      </c:tx>
    </c:title>
    <c:plotArea>
      <c:layout>
        <c:manualLayout>
          <c:layoutTarget val="inner"/>
          <c:xMode val="edge"/>
          <c:yMode val="edge"/>
          <c:x val="0.35523930118716684"/>
          <c:y val="0.20972222222222267"/>
          <c:w val="0.5013103953503022"/>
          <c:h val="0.63990339749198177"/>
        </c:manualLayout>
      </c:layout>
      <c:barChart>
        <c:barDir val="bar"/>
        <c:grouping val="clustered"/>
        <c:ser>
          <c:idx val="0"/>
          <c:order val="0"/>
          <c:spPr>
            <a:effectLst>
              <a:outerShdw blurRad="304800" dist="23000" dir="5400000" rotWithShape="0">
                <a:srgbClr val="000000">
                  <a:alpha val="35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анализ!$S$140:$S$141</c:f>
              <c:strCache>
                <c:ptCount val="2"/>
                <c:pt idx="0">
                  <c:v>Подгорный</c:v>
                </c:pt>
                <c:pt idx="1">
                  <c:v>Нагорный</c:v>
                </c:pt>
              </c:strCache>
            </c:strRef>
          </c:cat>
          <c:val>
            <c:numRef>
              <c:f>анализ!$T$140:$T$141</c:f>
              <c:numCache>
                <c:formatCode>0</c:formatCode>
                <c:ptCount val="2"/>
                <c:pt idx="0">
                  <c:v>40981.422386824532</c:v>
                </c:pt>
                <c:pt idx="1">
                  <c:v>50723.15399307671</c:v>
                </c:pt>
              </c:numCache>
            </c:numRef>
          </c:val>
        </c:ser>
        <c:axId val="79488128"/>
        <c:axId val="79489664"/>
      </c:barChart>
      <c:catAx>
        <c:axId val="7948812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9489664"/>
        <c:crosses val="autoZero"/>
        <c:auto val="1"/>
        <c:lblAlgn val="ctr"/>
        <c:lblOffset val="100"/>
      </c:catAx>
      <c:valAx>
        <c:axId val="79489664"/>
        <c:scaling>
          <c:orientation val="minMax"/>
        </c:scaling>
        <c:axPos val="b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9488128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1000" t="46000" r="25000" b="40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Удельная цена на вторичном рынке жилой недвижимости по типу домостроения г.Тобольск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анализ!$V$155:$V$158</c:f>
              <c:strCache>
                <c:ptCount val="4"/>
                <c:pt idx="0">
                  <c:v>монолитный</c:v>
                </c:pt>
                <c:pt idx="1">
                  <c:v>блочный</c:v>
                </c:pt>
                <c:pt idx="2">
                  <c:v>панельный</c:v>
                </c:pt>
                <c:pt idx="3">
                  <c:v>кирпичный</c:v>
                </c:pt>
              </c:strCache>
            </c:strRef>
          </c:cat>
          <c:val>
            <c:numRef>
              <c:f>анализ!$W$155:$W$158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анализ!$V$155:$V$158</c:f>
              <c:strCache>
                <c:ptCount val="4"/>
                <c:pt idx="0">
                  <c:v>монолитный</c:v>
                </c:pt>
                <c:pt idx="1">
                  <c:v>блочный</c:v>
                </c:pt>
                <c:pt idx="2">
                  <c:v>панельный</c:v>
                </c:pt>
                <c:pt idx="3">
                  <c:v>кирпичный</c:v>
                </c:pt>
              </c:strCache>
            </c:strRef>
          </c:cat>
          <c:val>
            <c:numRef>
              <c:f>анализ!$X$155:$X$158</c:f>
              <c:numCache>
                <c:formatCode>0</c:formatCode>
                <c:ptCount val="4"/>
                <c:pt idx="0">
                  <c:v>47901.384534834637</c:v>
                </c:pt>
                <c:pt idx="1">
                  <c:v>49572.948066535129</c:v>
                </c:pt>
                <c:pt idx="2">
                  <c:v>50394</c:v>
                </c:pt>
                <c:pt idx="3">
                  <c:v>50553</c:v>
                </c:pt>
              </c:numCache>
            </c:numRef>
          </c:val>
        </c:ser>
        <c:axId val="79387648"/>
        <c:axId val="79426304"/>
      </c:barChart>
      <c:catAx>
        <c:axId val="793876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9426304"/>
        <c:crosses val="autoZero"/>
        <c:auto val="1"/>
        <c:lblAlgn val="ctr"/>
        <c:lblOffset val="100"/>
      </c:catAx>
      <c:valAx>
        <c:axId val="794263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Руб./кв.м.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9387648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6000" t="44000" r="25000" b="40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0.06601</cdr:y>
    </cdr:from>
    <cdr:to>
      <cdr:x>0.86471</cdr:x>
      <cdr:y>0.11881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1" y="190501"/>
          <a:ext cx="523875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1.23514E-7</cdr:x>
      <cdr:y>0.04951</cdr:y>
    </cdr:from>
    <cdr:to>
      <cdr:x>0.11529</cdr:x>
      <cdr:y>0.15842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142876"/>
          <a:ext cx="9334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0.90852</cdr:x>
      <cdr:y>0.06931</cdr:y>
    </cdr:from>
    <cdr:to>
      <cdr:x>0.99176</cdr:x>
      <cdr:y>0.14522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162426" y="200026"/>
          <a:ext cx="381348" cy="2190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0.00353</cdr:x>
      <cdr:y>0.0231</cdr:y>
    </cdr:from>
    <cdr:to>
      <cdr:x>0.11647</cdr:x>
      <cdr:y>0.33993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8576" y="666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0.00362</cdr:x>
      <cdr:y>0.04878</cdr:y>
    </cdr:from>
    <cdr:to>
      <cdr:x>0.14105</cdr:x>
      <cdr:y>0.14634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9050" y="133350"/>
          <a:ext cx="7239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руб./кв.м.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0.07639</cdr:y>
    </cdr:from>
    <cdr:to>
      <cdr:x>0.19792</cdr:x>
      <cdr:y>0.18403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085" y="209550"/>
          <a:ext cx="866805" cy="2952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руб./кв.м.</a:t>
          </a:r>
        </a:p>
      </cdr:txBody>
    </cdr:sp>
  </cdr:relSizeAnchor>
  <cdr:relSizeAnchor xmlns:cdr="http://schemas.openxmlformats.org/drawingml/2006/chartDrawing">
    <cdr:from>
      <cdr:x>0.91458</cdr:x>
      <cdr:y>0.06597</cdr:y>
    </cdr:from>
    <cdr:to>
      <cdr:x>0.99375</cdr:x>
      <cdr:y>0.18056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81460" y="180975"/>
          <a:ext cx="361965" cy="3143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0.85767</cdr:x>
      <cdr:y>0.44792</cdr:y>
    </cdr:from>
    <cdr:to>
      <cdr:x>0.99446</cdr:x>
      <cdr:y>0.59375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19602" y="1228725"/>
          <a:ext cx="7048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0.84843</cdr:x>
      <cdr:y>0.42361</cdr:y>
    </cdr:from>
    <cdr:to>
      <cdr:x>0.99815</cdr:x>
      <cdr:y>0.56597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71977" y="1162050"/>
          <a:ext cx="771524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руб./кв.м.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</cdr:x>
      <cdr:y>0.06601</cdr:y>
    </cdr:from>
    <cdr:to>
      <cdr:x>0.86471</cdr:x>
      <cdr:y>0.11881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1" y="190501"/>
          <a:ext cx="523875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1.23514E-7</cdr:x>
      <cdr:y>0.04951</cdr:y>
    </cdr:from>
    <cdr:to>
      <cdr:x>0.11529</cdr:x>
      <cdr:y>0.15842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142876"/>
          <a:ext cx="9334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0.90852</cdr:x>
      <cdr:y>0.06931</cdr:y>
    </cdr:from>
    <cdr:to>
      <cdr:x>0.99176</cdr:x>
      <cdr:y>0.14522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162426" y="200026"/>
          <a:ext cx="381348" cy="2190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0.00353</cdr:x>
      <cdr:y>0.0231</cdr:y>
    </cdr:from>
    <cdr:to>
      <cdr:x>0.11647</cdr:x>
      <cdr:y>0.33993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8576" y="666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0.00362</cdr:x>
      <cdr:y>0.04878</cdr:y>
    </cdr:from>
    <cdr:to>
      <cdr:x>0.14105</cdr:x>
      <cdr:y>0.14634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9050" y="133350"/>
          <a:ext cx="7239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руб./кв.м.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BDF3-36BF-4168-ABD1-DFB258F2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a.f.spicheva</cp:lastModifiedBy>
  <cp:revision>3</cp:revision>
  <cp:lastPrinted>2014-02-28T04:34:00Z</cp:lastPrinted>
  <dcterms:created xsi:type="dcterms:W3CDTF">2014-09-15T02:54:00Z</dcterms:created>
  <dcterms:modified xsi:type="dcterms:W3CDTF">2014-09-15T03:04:00Z</dcterms:modified>
</cp:coreProperties>
</file>