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drawings/drawing3.xml" ContentType="application/vnd.openxmlformats-officedocument.drawingml.chartshapes+xml"/>
  <Override PartName="/word/charts/chart9.xml" ContentType="application/vnd.openxmlformats-officedocument.drawingml.chart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EB" w:rsidRDefault="004C40EB" w:rsidP="00662C23">
      <w:pPr>
        <w:ind w:left="-709"/>
        <w:jc w:val="center"/>
        <w:rPr>
          <w:rFonts w:ascii="Arial" w:hAnsi="Arial" w:cs="Arial"/>
          <w:b/>
        </w:rPr>
      </w:pPr>
    </w:p>
    <w:p w:rsidR="00662C23" w:rsidRPr="004109C9" w:rsidRDefault="004C40EB" w:rsidP="00795D31">
      <w:pPr>
        <w:tabs>
          <w:tab w:val="center" w:pos="4464"/>
          <w:tab w:val="right" w:pos="9638"/>
        </w:tabs>
        <w:ind w:left="-1134"/>
        <w:jc w:val="right"/>
        <w:rPr>
          <w:rFonts w:cs="Arial"/>
          <w:b/>
          <w:sz w:val="24"/>
          <w:szCs w:val="24"/>
        </w:rPr>
      </w:pPr>
      <w:r w:rsidRPr="004109C9">
        <w:rPr>
          <w:rFonts w:cs="Arial"/>
          <w:b/>
          <w:sz w:val="24"/>
          <w:szCs w:val="24"/>
        </w:rPr>
        <w:t>ОБЗОР ВТОРИЧНОГО РЫНКА ЖИ</w:t>
      </w:r>
      <w:r w:rsidR="0068272F" w:rsidRPr="004109C9">
        <w:rPr>
          <w:rFonts w:cs="Arial"/>
          <w:b/>
          <w:sz w:val="24"/>
          <w:szCs w:val="24"/>
        </w:rPr>
        <w:t xml:space="preserve">ЛОЙ НЕДВИЖИМОСТИ Г.ТОБОЛЬСК. </w:t>
      </w:r>
      <w:r w:rsidR="001C785F" w:rsidRPr="004109C9">
        <w:rPr>
          <w:rFonts w:cs="Arial"/>
          <w:b/>
          <w:sz w:val="24"/>
          <w:szCs w:val="24"/>
        </w:rPr>
        <w:t>ЯНВАРЬ 2015</w:t>
      </w:r>
      <w:r w:rsidRPr="004109C9">
        <w:rPr>
          <w:rFonts w:cs="Arial"/>
          <w:b/>
          <w:sz w:val="24"/>
          <w:szCs w:val="24"/>
        </w:rPr>
        <w:t>Г.</w:t>
      </w:r>
      <w:r w:rsidRPr="004109C9">
        <w:rPr>
          <w:rStyle w:val="ae"/>
          <w:rFonts w:cs="Arial"/>
          <w:b/>
          <w:sz w:val="24"/>
          <w:szCs w:val="24"/>
        </w:rPr>
        <w:footnoteReference w:id="2"/>
      </w:r>
    </w:p>
    <w:p w:rsidR="003E6EC5" w:rsidRDefault="003E6EC5" w:rsidP="00DC3533">
      <w:pPr>
        <w:ind w:left="-1134" w:right="-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C785F">
        <w:rPr>
          <w:rFonts w:ascii="Arial" w:hAnsi="Arial" w:cs="Arial"/>
          <w:b/>
          <w:noProof/>
        </w:rPr>
        <w:drawing>
          <wp:inline distT="0" distB="0" distL="0" distR="0">
            <wp:extent cx="7692291" cy="4678878"/>
            <wp:effectExtent l="19050" t="0" r="3909" b="0"/>
            <wp:docPr id="2" name="Рисунок 1" descr="тобольск вторичка ян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больск вторичка ян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8007" cy="468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33C" w:rsidRDefault="00B8033C" w:rsidP="00F30694">
      <w:pPr>
        <w:ind w:firstLine="709"/>
        <w:rPr>
          <w:rFonts w:ascii="Arial" w:hAnsi="Arial" w:cs="Arial"/>
          <w:b/>
        </w:rPr>
      </w:pPr>
    </w:p>
    <w:p w:rsidR="001C785F" w:rsidRDefault="001C785F" w:rsidP="00F30694">
      <w:pPr>
        <w:ind w:firstLine="709"/>
        <w:rPr>
          <w:rFonts w:ascii="Arial" w:hAnsi="Arial" w:cs="Arial"/>
          <w:b/>
        </w:rPr>
      </w:pPr>
    </w:p>
    <w:p w:rsidR="003F309D" w:rsidRPr="004109C9" w:rsidRDefault="00A31A8D" w:rsidP="004109C9">
      <w:pPr>
        <w:ind w:left="1134" w:hanging="283"/>
        <w:rPr>
          <w:rFonts w:cs="Arial"/>
          <w:b/>
          <w:sz w:val="24"/>
          <w:szCs w:val="24"/>
        </w:rPr>
      </w:pPr>
      <w:r w:rsidRPr="004109C9">
        <w:rPr>
          <w:rFonts w:cs="Arial"/>
          <w:b/>
          <w:sz w:val="24"/>
          <w:szCs w:val="24"/>
        </w:rPr>
        <w:t>ОСНОВНЫЕ ВЫВОДЫ</w:t>
      </w:r>
      <w:r w:rsidR="00283307" w:rsidRPr="004109C9">
        <w:rPr>
          <w:rFonts w:cs="Arial"/>
          <w:b/>
          <w:sz w:val="24"/>
          <w:szCs w:val="24"/>
        </w:rPr>
        <w:t>:</w:t>
      </w:r>
    </w:p>
    <w:p w:rsidR="008249E5" w:rsidRDefault="008249E5" w:rsidP="004109C9">
      <w:pPr>
        <w:pStyle w:val="a3"/>
        <w:numPr>
          <w:ilvl w:val="0"/>
          <w:numId w:val="7"/>
        </w:numPr>
        <w:spacing w:line="240" w:lineRule="auto"/>
        <w:ind w:hanging="295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Наибольшую долю в структуре предложения занимают 2-комнатные квартиры – 33% от общего объема предложения квартир;</w:t>
      </w:r>
    </w:p>
    <w:p w:rsidR="00D65EB6" w:rsidRPr="004109C9" w:rsidRDefault="00731DF2" w:rsidP="004109C9">
      <w:pPr>
        <w:pStyle w:val="a3"/>
        <w:numPr>
          <w:ilvl w:val="0"/>
          <w:numId w:val="7"/>
        </w:numPr>
        <w:spacing w:line="240" w:lineRule="auto"/>
        <w:ind w:hanging="295"/>
        <w:jc w:val="both"/>
        <w:rPr>
          <w:rFonts w:cs="Arial"/>
          <w:b/>
          <w:sz w:val="24"/>
          <w:szCs w:val="24"/>
        </w:rPr>
      </w:pPr>
      <w:r w:rsidRPr="004109C9">
        <w:rPr>
          <w:rFonts w:cs="Arial"/>
          <w:b/>
          <w:sz w:val="24"/>
          <w:szCs w:val="24"/>
        </w:rPr>
        <w:t>Уде</w:t>
      </w:r>
      <w:r w:rsidR="00E33F6C" w:rsidRPr="004109C9">
        <w:rPr>
          <w:rFonts w:cs="Arial"/>
          <w:b/>
          <w:sz w:val="24"/>
          <w:szCs w:val="24"/>
        </w:rPr>
        <w:t xml:space="preserve">льная цена предложения в </w:t>
      </w:r>
      <w:r w:rsidR="004109C9" w:rsidRPr="004109C9">
        <w:rPr>
          <w:rFonts w:cs="Arial"/>
          <w:b/>
          <w:sz w:val="24"/>
          <w:szCs w:val="24"/>
        </w:rPr>
        <w:t>январе 2015</w:t>
      </w:r>
      <w:r w:rsidR="00E33F6C" w:rsidRPr="004109C9">
        <w:rPr>
          <w:rFonts w:cs="Arial"/>
          <w:b/>
          <w:sz w:val="24"/>
          <w:szCs w:val="24"/>
        </w:rPr>
        <w:t>г. состави</w:t>
      </w:r>
      <w:r w:rsidR="008A5009" w:rsidRPr="004109C9">
        <w:rPr>
          <w:rFonts w:cs="Arial"/>
          <w:b/>
          <w:sz w:val="24"/>
          <w:szCs w:val="24"/>
        </w:rPr>
        <w:t xml:space="preserve">ла </w:t>
      </w:r>
      <w:r w:rsidR="0053298B" w:rsidRPr="004109C9">
        <w:rPr>
          <w:rFonts w:cs="Arial"/>
          <w:b/>
          <w:sz w:val="24"/>
          <w:szCs w:val="24"/>
        </w:rPr>
        <w:t>49</w:t>
      </w:r>
      <w:r w:rsidR="00703F47">
        <w:rPr>
          <w:rFonts w:cs="Arial"/>
          <w:b/>
          <w:sz w:val="24"/>
          <w:szCs w:val="24"/>
        </w:rPr>
        <w:t>023</w:t>
      </w:r>
      <w:r w:rsidR="008A5009" w:rsidRPr="004109C9">
        <w:rPr>
          <w:rFonts w:cs="Arial"/>
          <w:b/>
          <w:sz w:val="24"/>
          <w:szCs w:val="24"/>
        </w:rPr>
        <w:t xml:space="preserve"> руб./кв.м., что на 0,</w:t>
      </w:r>
      <w:r w:rsidR="00703F47">
        <w:rPr>
          <w:rFonts w:cs="Arial"/>
          <w:b/>
          <w:sz w:val="24"/>
          <w:szCs w:val="24"/>
        </w:rPr>
        <w:t>34</w:t>
      </w:r>
      <w:r w:rsidR="00D65EB6" w:rsidRPr="004109C9">
        <w:rPr>
          <w:rFonts w:cs="Arial"/>
          <w:b/>
          <w:sz w:val="24"/>
          <w:szCs w:val="24"/>
        </w:rPr>
        <w:t>% ниже, чем в предыдущем месяце;</w:t>
      </w:r>
    </w:p>
    <w:p w:rsidR="004B5F71" w:rsidRPr="004109C9" w:rsidRDefault="00731DF2" w:rsidP="004109C9">
      <w:pPr>
        <w:pStyle w:val="a3"/>
        <w:numPr>
          <w:ilvl w:val="0"/>
          <w:numId w:val="7"/>
        </w:numPr>
        <w:spacing w:line="240" w:lineRule="auto"/>
        <w:ind w:hanging="295"/>
        <w:jc w:val="both"/>
        <w:rPr>
          <w:rFonts w:cs="Arial"/>
          <w:b/>
          <w:sz w:val="24"/>
          <w:szCs w:val="24"/>
        </w:rPr>
      </w:pPr>
      <w:r w:rsidRPr="004109C9">
        <w:rPr>
          <w:rFonts w:cs="Arial"/>
          <w:b/>
          <w:sz w:val="24"/>
          <w:szCs w:val="24"/>
        </w:rPr>
        <w:t xml:space="preserve">Удельная цена продаж в </w:t>
      </w:r>
      <w:r w:rsidR="00703F47">
        <w:rPr>
          <w:rFonts w:cs="Arial"/>
          <w:b/>
          <w:sz w:val="24"/>
          <w:szCs w:val="24"/>
        </w:rPr>
        <w:t>январе 2015</w:t>
      </w:r>
      <w:r w:rsidR="004964DA" w:rsidRPr="004109C9">
        <w:rPr>
          <w:rFonts w:cs="Arial"/>
          <w:b/>
          <w:sz w:val="24"/>
          <w:szCs w:val="24"/>
        </w:rPr>
        <w:t xml:space="preserve">г. сложилась на уровне </w:t>
      </w:r>
      <w:r w:rsidR="00703F47">
        <w:rPr>
          <w:rFonts w:cs="Arial"/>
          <w:b/>
          <w:sz w:val="24"/>
          <w:szCs w:val="24"/>
        </w:rPr>
        <w:t>45550</w:t>
      </w:r>
      <w:r w:rsidR="008731F6" w:rsidRPr="004109C9">
        <w:rPr>
          <w:rFonts w:cs="Arial"/>
          <w:b/>
          <w:sz w:val="24"/>
          <w:szCs w:val="24"/>
        </w:rPr>
        <w:t xml:space="preserve"> </w:t>
      </w:r>
      <w:r w:rsidR="00932572" w:rsidRPr="004109C9">
        <w:rPr>
          <w:rFonts w:cs="Arial"/>
          <w:b/>
          <w:sz w:val="24"/>
          <w:szCs w:val="24"/>
        </w:rPr>
        <w:t>руб./кв.м. при средней площади</w:t>
      </w:r>
      <w:r w:rsidR="004964DA" w:rsidRPr="004109C9">
        <w:rPr>
          <w:rFonts w:cs="Arial"/>
          <w:b/>
          <w:sz w:val="24"/>
          <w:szCs w:val="24"/>
        </w:rPr>
        <w:t xml:space="preserve"> проданных квартир – </w:t>
      </w:r>
      <w:r w:rsidR="00703F47">
        <w:rPr>
          <w:rFonts w:cs="Arial"/>
          <w:b/>
          <w:sz w:val="24"/>
          <w:szCs w:val="24"/>
        </w:rPr>
        <w:t>43,53</w:t>
      </w:r>
      <w:r w:rsidR="008731F6" w:rsidRPr="004109C9">
        <w:rPr>
          <w:rFonts w:cs="Arial"/>
          <w:b/>
          <w:sz w:val="24"/>
          <w:szCs w:val="24"/>
        </w:rPr>
        <w:t xml:space="preserve"> </w:t>
      </w:r>
      <w:r w:rsidR="00A31A8D" w:rsidRPr="004109C9">
        <w:rPr>
          <w:rFonts w:cs="Arial"/>
          <w:b/>
          <w:sz w:val="24"/>
          <w:szCs w:val="24"/>
        </w:rPr>
        <w:t>кв.м.</w:t>
      </w:r>
      <w:r w:rsidR="004B5F71" w:rsidRPr="004109C9">
        <w:rPr>
          <w:rFonts w:cs="Arial"/>
          <w:b/>
          <w:sz w:val="24"/>
          <w:szCs w:val="24"/>
        </w:rPr>
        <w:t>;</w:t>
      </w:r>
    </w:p>
    <w:p w:rsidR="00932572" w:rsidRPr="004109C9" w:rsidRDefault="00A31A8D" w:rsidP="004109C9">
      <w:pPr>
        <w:pStyle w:val="a3"/>
        <w:numPr>
          <w:ilvl w:val="0"/>
          <w:numId w:val="7"/>
        </w:numPr>
        <w:spacing w:line="240" w:lineRule="auto"/>
        <w:ind w:hanging="295"/>
        <w:jc w:val="both"/>
        <w:rPr>
          <w:rFonts w:cs="Arial"/>
          <w:b/>
          <w:sz w:val="24"/>
          <w:szCs w:val="24"/>
        </w:rPr>
      </w:pPr>
      <w:r w:rsidRPr="004109C9">
        <w:rPr>
          <w:rFonts w:cs="Arial"/>
          <w:b/>
          <w:sz w:val="24"/>
          <w:szCs w:val="24"/>
        </w:rPr>
        <w:t>Средня</w:t>
      </w:r>
      <w:r w:rsidR="00EC05E3" w:rsidRPr="004109C9">
        <w:rPr>
          <w:rFonts w:cs="Arial"/>
          <w:b/>
          <w:sz w:val="24"/>
          <w:szCs w:val="24"/>
        </w:rPr>
        <w:t>я величина торга состави</w:t>
      </w:r>
      <w:r w:rsidR="008D6794" w:rsidRPr="004109C9">
        <w:rPr>
          <w:rFonts w:cs="Arial"/>
          <w:b/>
          <w:sz w:val="24"/>
          <w:szCs w:val="24"/>
        </w:rPr>
        <w:t xml:space="preserve">ла – </w:t>
      </w:r>
      <w:r w:rsidR="00690DD3">
        <w:rPr>
          <w:rFonts w:cs="Arial"/>
          <w:b/>
          <w:sz w:val="24"/>
          <w:szCs w:val="24"/>
        </w:rPr>
        <w:t>3,46</w:t>
      </w:r>
      <w:r w:rsidRPr="004109C9">
        <w:rPr>
          <w:rFonts w:cs="Arial"/>
          <w:b/>
          <w:sz w:val="24"/>
          <w:szCs w:val="24"/>
        </w:rPr>
        <w:t>%</w:t>
      </w:r>
      <w:r w:rsidR="00ED47C1" w:rsidRPr="004109C9">
        <w:rPr>
          <w:rFonts w:cs="Arial"/>
          <w:b/>
          <w:sz w:val="24"/>
          <w:szCs w:val="24"/>
        </w:rPr>
        <w:t>;</w:t>
      </w:r>
    </w:p>
    <w:p w:rsidR="001C785F" w:rsidRDefault="001C785F" w:rsidP="001C785F">
      <w:pPr>
        <w:jc w:val="both"/>
        <w:rPr>
          <w:rFonts w:ascii="Arial" w:hAnsi="Arial" w:cs="Arial"/>
          <w:b/>
        </w:rPr>
      </w:pPr>
    </w:p>
    <w:p w:rsidR="004109C9" w:rsidRDefault="004109C9" w:rsidP="001C785F">
      <w:pPr>
        <w:jc w:val="both"/>
        <w:rPr>
          <w:rFonts w:ascii="Arial" w:hAnsi="Arial" w:cs="Arial"/>
          <w:b/>
        </w:rPr>
      </w:pPr>
    </w:p>
    <w:p w:rsidR="004109C9" w:rsidRPr="001C785F" w:rsidRDefault="004109C9" w:rsidP="001C785F">
      <w:pPr>
        <w:jc w:val="both"/>
        <w:rPr>
          <w:rFonts w:ascii="Arial" w:hAnsi="Arial" w:cs="Arial"/>
          <w:b/>
        </w:rPr>
      </w:pPr>
    </w:p>
    <w:p w:rsidR="00785BA5" w:rsidRPr="004109C9" w:rsidRDefault="00785BA5" w:rsidP="001C32F9">
      <w:pPr>
        <w:jc w:val="center"/>
        <w:rPr>
          <w:rFonts w:cs="Arial"/>
          <w:b/>
          <w:sz w:val="24"/>
          <w:szCs w:val="24"/>
        </w:rPr>
      </w:pPr>
      <w:r w:rsidRPr="004109C9">
        <w:rPr>
          <w:rFonts w:cs="Arial"/>
          <w:b/>
          <w:sz w:val="24"/>
          <w:szCs w:val="24"/>
        </w:rPr>
        <w:t>АНАЛИЗ СТРУКТУРЫ ПРЕДЛ</w:t>
      </w:r>
      <w:r w:rsidR="001C32F9" w:rsidRPr="004109C9">
        <w:rPr>
          <w:rFonts w:cs="Arial"/>
          <w:b/>
          <w:sz w:val="24"/>
          <w:szCs w:val="24"/>
        </w:rPr>
        <w:t>ОЖЕНИЯ НА ВТОРИЧНОМ РЫНКЕ</w:t>
      </w:r>
      <w:r w:rsidRPr="004109C9">
        <w:rPr>
          <w:rFonts w:cs="Arial"/>
          <w:b/>
          <w:sz w:val="24"/>
          <w:szCs w:val="24"/>
        </w:rPr>
        <w:t xml:space="preserve"> Г.</w:t>
      </w:r>
      <w:r w:rsidR="00100971" w:rsidRPr="004109C9">
        <w:rPr>
          <w:rFonts w:cs="Arial"/>
          <w:b/>
          <w:sz w:val="24"/>
          <w:szCs w:val="24"/>
        </w:rPr>
        <w:t>ТОБОЛЬСК</w:t>
      </w:r>
      <w:r w:rsidR="003513D6" w:rsidRPr="004109C9">
        <w:rPr>
          <w:rFonts w:cs="Arial"/>
          <w:b/>
          <w:sz w:val="24"/>
          <w:szCs w:val="24"/>
        </w:rPr>
        <w:t xml:space="preserve"> ЗА </w:t>
      </w:r>
      <w:r w:rsidR="003636CD" w:rsidRPr="004109C9">
        <w:rPr>
          <w:rFonts w:cs="Arial"/>
          <w:b/>
          <w:sz w:val="24"/>
          <w:szCs w:val="24"/>
        </w:rPr>
        <w:t>ЯНВАРЬ 2015</w:t>
      </w:r>
      <w:r w:rsidR="001C32F9" w:rsidRPr="004109C9">
        <w:rPr>
          <w:rFonts w:cs="Arial"/>
          <w:b/>
          <w:sz w:val="24"/>
          <w:szCs w:val="24"/>
        </w:rPr>
        <w:t>Г.</w:t>
      </w:r>
    </w:p>
    <w:p w:rsidR="0012352F" w:rsidRPr="004109C9" w:rsidRDefault="00845957" w:rsidP="004109C9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4109C9">
        <w:rPr>
          <w:rFonts w:cs="Arial"/>
          <w:sz w:val="24"/>
          <w:szCs w:val="24"/>
        </w:rPr>
        <w:t>Объем предложения на вторичном рынк</w:t>
      </w:r>
      <w:r w:rsidR="0068272F" w:rsidRPr="004109C9">
        <w:rPr>
          <w:rFonts w:cs="Arial"/>
          <w:sz w:val="24"/>
          <w:szCs w:val="24"/>
        </w:rPr>
        <w:t xml:space="preserve">е </w:t>
      </w:r>
      <w:r w:rsidR="003513D6" w:rsidRPr="004109C9">
        <w:rPr>
          <w:rFonts w:cs="Arial"/>
          <w:sz w:val="24"/>
          <w:szCs w:val="24"/>
        </w:rPr>
        <w:t xml:space="preserve">жилой недвижимости в </w:t>
      </w:r>
      <w:r w:rsidR="008B3F7E" w:rsidRPr="004109C9">
        <w:rPr>
          <w:rFonts w:cs="Arial"/>
          <w:sz w:val="24"/>
          <w:szCs w:val="24"/>
        </w:rPr>
        <w:t>январе 2015</w:t>
      </w:r>
      <w:r w:rsidRPr="004109C9">
        <w:rPr>
          <w:rFonts w:cs="Arial"/>
          <w:sz w:val="24"/>
          <w:szCs w:val="24"/>
        </w:rPr>
        <w:t xml:space="preserve">г. </w:t>
      </w:r>
      <w:r w:rsidR="008B3F7E" w:rsidRPr="004109C9">
        <w:rPr>
          <w:rFonts w:cs="Arial"/>
          <w:sz w:val="24"/>
          <w:szCs w:val="24"/>
        </w:rPr>
        <w:t>составил порядка</w:t>
      </w:r>
      <w:r w:rsidR="003513D6" w:rsidRPr="004109C9">
        <w:rPr>
          <w:rFonts w:cs="Arial"/>
          <w:sz w:val="24"/>
          <w:szCs w:val="24"/>
        </w:rPr>
        <w:t xml:space="preserve"> </w:t>
      </w:r>
      <w:r w:rsidR="008B3F7E" w:rsidRPr="004109C9">
        <w:rPr>
          <w:rFonts w:cs="Arial"/>
          <w:sz w:val="24"/>
          <w:szCs w:val="24"/>
        </w:rPr>
        <w:t>1660</w:t>
      </w:r>
      <w:r w:rsidR="00662C23" w:rsidRPr="004109C9">
        <w:rPr>
          <w:rFonts w:cs="Arial"/>
          <w:sz w:val="24"/>
          <w:szCs w:val="24"/>
        </w:rPr>
        <w:t xml:space="preserve"> квартир</w:t>
      </w:r>
      <w:r w:rsidR="00AA0F60" w:rsidRPr="004109C9">
        <w:rPr>
          <w:rFonts w:cs="Arial"/>
          <w:sz w:val="24"/>
          <w:szCs w:val="24"/>
        </w:rPr>
        <w:t xml:space="preserve"> (исключая квартиры, находящиеся за чертой города, малогабаритные квартиры, а также малоэтажн</w:t>
      </w:r>
      <w:r w:rsidR="0068272F" w:rsidRPr="004109C9">
        <w:rPr>
          <w:rFonts w:cs="Arial"/>
          <w:sz w:val="24"/>
          <w:szCs w:val="24"/>
        </w:rPr>
        <w:t>ое с</w:t>
      </w:r>
      <w:r w:rsidR="008B3F7E" w:rsidRPr="004109C9">
        <w:rPr>
          <w:rFonts w:cs="Arial"/>
          <w:sz w:val="24"/>
          <w:szCs w:val="24"/>
        </w:rPr>
        <w:t>троительство). Отрицательный п</w:t>
      </w:r>
      <w:r w:rsidR="00BC1396" w:rsidRPr="004109C9">
        <w:rPr>
          <w:rFonts w:cs="Arial"/>
          <w:sz w:val="24"/>
          <w:szCs w:val="24"/>
        </w:rPr>
        <w:t xml:space="preserve">рирост в </w:t>
      </w:r>
      <w:r w:rsidR="008B3F7E" w:rsidRPr="004109C9">
        <w:rPr>
          <w:rFonts w:cs="Arial"/>
          <w:sz w:val="24"/>
          <w:szCs w:val="24"/>
        </w:rPr>
        <w:t>январе 2015</w:t>
      </w:r>
      <w:r w:rsidR="00AA0F60" w:rsidRPr="004109C9">
        <w:rPr>
          <w:rFonts w:cs="Arial"/>
          <w:sz w:val="24"/>
          <w:szCs w:val="24"/>
        </w:rPr>
        <w:t>г. по сравнению с п</w:t>
      </w:r>
      <w:r w:rsidR="00662C23" w:rsidRPr="004109C9">
        <w:rPr>
          <w:rFonts w:cs="Arial"/>
          <w:sz w:val="24"/>
          <w:szCs w:val="24"/>
        </w:rPr>
        <w:t xml:space="preserve">редыдущим месяцем </w:t>
      </w:r>
      <w:r w:rsidR="00BC1396" w:rsidRPr="004109C9">
        <w:rPr>
          <w:rFonts w:cs="Arial"/>
          <w:sz w:val="24"/>
          <w:szCs w:val="24"/>
        </w:rPr>
        <w:t xml:space="preserve">составил </w:t>
      </w:r>
      <w:r w:rsidR="008B3F7E" w:rsidRPr="004109C9">
        <w:rPr>
          <w:rFonts w:cs="Arial"/>
          <w:sz w:val="24"/>
          <w:szCs w:val="24"/>
        </w:rPr>
        <w:t>5,42</w:t>
      </w:r>
      <w:r w:rsidR="00BC1396" w:rsidRPr="004109C9">
        <w:rPr>
          <w:rFonts w:cs="Arial"/>
          <w:sz w:val="24"/>
          <w:szCs w:val="24"/>
        </w:rPr>
        <w:t>% (</w:t>
      </w:r>
      <w:r w:rsidR="008B3F7E" w:rsidRPr="004109C9">
        <w:rPr>
          <w:rFonts w:cs="Arial"/>
          <w:sz w:val="24"/>
          <w:szCs w:val="24"/>
        </w:rPr>
        <w:t>90 квартир)</w:t>
      </w:r>
      <w:r w:rsidR="00731DF2" w:rsidRPr="004109C9">
        <w:rPr>
          <w:rFonts w:cs="Arial"/>
          <w:sz w:val="24"/>
          <w:szCs w:val="24"/>
        </w:rPr>
        <w:t>.</w:t>
      </w:r>
    </w:p>
    <w:p w:rsidR="00AA0F60" w:rsidRDefault="00AA0F60" w:rsidP="004109C9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4109C9">
        <w:rPr>
          <w:rFonts w:cs="Arial"/>
          <w:sz w:val="24"/>
          <w:szCs w:val="24"/>
        </w:rPr>
        <w:t xml:space="preserve">В предложении квартир на вторичном рынке </w:t>
      </w:r>
      <w:r w:rsidR="004964DA" w:rsidRPr="004109C9">
        <w:rPr>
          <w:rFonts w:cs="Arial"/>
          <w:sz w:val="24"/>
          <w:szCs w:val="24"/>
        </w:rPr>
        <w:t xml:space="preserve">по-прежнему </w:t>
      </w:r>
      <w:r w:rsidRPr="004109C9">
        <w:rPr>
          <w:rFonts w:cs="Arial"/>
          <w:sz w:val="24"/>
          <w:szCs w:val="24"/>
        </w:rPr>
        <w:t xml:space="preserve">преобладают 2-комнатные квартиры, их доля </w:t>
      </w:r>
      <w:r w:rsidR="008249E5">
        <w:rPr>
          <w:rFonts w:cs="Arial"/>
          <w:sz w:val="24"/>
          <w:szCs w:val="24"/>
        </w:rPr>
        <w:t>снизилась</w:t>
      </w:r>
      <w:r w:rsidR="00E81535" w:rsidRPr="004109C9">
        <w:rPr>
          <w:rFonts w:cs="Arial"/>
          <w:sz w:val="24"/>
          <w:szCs w:val="24"/>
        </w:rPr>
        <w:t xml:space="preserve"> и </w:t>
      </w:r>
      <w:r w:rsidR="003513D6" w:rsidRPr="004109C9">
        <w:rPr>
          <w:rFonts w:cs="Arial"/>
          <w:sz w:val="24"/>
          <w:szCs w:val="24"/>
        </w:rPr>
        <w:t xml:space="preserve">составила </w:t>
      </w:r>
      <w:r w:rsidR="008249E5">
        <w:rPr>
          <w:rFonts w:cs="Arial"/>
          <w:sz w:val="24"/>
          <w:szCs w:val="24"/>
        </w:rPr>
        <w:t>33</w:t>
      </w:r>
      <w:r w:rsidR="00960EC5" w:rsidRPr="004109C9">
        <w:rPr>
          <w:rFonts w:cs="Arial"/>
          <w:sz w:val="24"/>
          <w:szCs w:val="24"/>
        </w:rPr>
        <w:t>% (</w:t>
      </w:r>
      <w:r w:rsidR="008249E5">
        <w:rPr>
          <w:rFonts w:cs="Arial"/>
          <w:sz w:val="24"/>
          <w:szCs w:val="24"/>
        </w:rPr>
        <w:t xml:space="preserve">темп прироста 11,59% </w:t>
      </w:r>
      <w:proofErr w:type="spellStart"/>
      <w:r w:rsidR="008249E5">
        <w:rPr>
          <w:rFonts w:cs="Arial"/>
          <w:sz w:val="24"/>
          <w:szCs w:val="24"/>
        </w:rPr>
        <w:t>↓</w:t>
      </w:r>
      <w:proofErr w:type="spellEnd"/>
      <w:r w:rsidR="00E81535" w:rsidRPr="004109C9">
        <w:rPr>
          <w:rFonts w:cs="Arial"/>
          <w:sz w:val="24"/>
          <w:szCs w:val="24"/>
        </w:rPr>
        <w:t>)</w:t>
      </w:r>
      <w:r w:rsidR="00325FA9" w:rsidRPr="004109C9">
        <w:rPr>
          <w:rFonts w:cs="Arial"/>
          <w:sz w:val="24"/>
          <w:szCs w:val="24"/>
        </w:rPr>
        <w:t>. 3</w:t>
      </w:r>
      <w:r w:rsidRPr="004109C9">
        <w:rPr>
          <w:rFonts w:cs="Arial"/>
          <w:sz w:val="24"/>
          <w:szCs w:val="24"/>
        </w:rPr>
        <w:t>-к</w:t>
      </w:r>
      <w:r w:rsidR="00325FA9" w:rsidRPr="004109C9">
        <w:rPr>
          <w:rFonts w:cs="Arial"/>
          <w:sz w:val="24"/>
          <w:szCs w:val="24"/>
        </w:rPr>
        <w:t xml:space="preserve">омнатные квартиры занимают – </w:t>
      </w:r>
      <w:r w:rsidR="008249E5">
        <w:rPr>
          <w:rFonts w:cs="Arial"/>
          <w:sz w:val="24"/>
          <w:szCs w:val="24"/>
        </w:rPr>
        <w:t>29</w:t>
      </w:r>
      <w:r w:rsidRPr="004109C9">
        <w:rPr>
          <w:rFonts w:cs="Arial"/>
          <w:sz w:val="24"/>
          <w:szCs w:val="24"/>
        </w:rPr>
        <w:t>% вторичного рынк</w:t>
      </w:r>
      <w:r w:rsidR="00325FA9" w:rsidRPr="004109C9">
        <w:rPr>
          <w:rFonts w:cs="Arial"/>
          <w:sz w:val="24"/>
          <w:szCs w:val="24"/>
        </w:rPr>
        <w:t>а</w:t>
      </w:r>
      <w:r w:rsidR="008249E5">
        <w:rPr>
          <w:rFonts w:cs="Arial"/>
          <w:sz w:val="24"/>
          <w:szCs w:val="24"/>
        </w:rPr>
        <w:t xml:space="preserve"> (темп прироста 1,26% ↑)</w:t>
      </w:r>
      <w:r w:rsidR="00325FA9" w:rsidRPr="004109C9">
        <w:rPr>
          <w:rFonts w:cs="Arial"/>
          <w:sz w:val="24"/>
          <w:szCs w:val="24"/>
        </w:rPr>
        <w:t xml:space="preserve">. </w:t>
      </w:r>
      <w:r w:rsidR="0068272F" w:rsidRPr="004109C9">
        <w:rPr>
          <w:rFonts w:cs="Arial"/>
          <w:sz w:val="24"/>
          <w:szCs w:val="24"/>
        </w:rPr>
        <w:t xml:space="preserve">Доля </w:t>
      </w:r>
      <w:r w:rsidR="00325FA9" w:rsidRPr="004109C9">
        <w:rPr>
          <w:rFonts w:cs="Arial"/>
          <w:sz w:val="24"/>
          <w:szCs w:val="24"/>
        </w:rPr>
        <w:t>1</w:t>
      </w:r>
      <w:r w:rsidR="0068272F" w:rsidRPr="004109C9">
        <w:rPr>
          <w:rFonts w:cs="Arial"/>
          <w:sz w:val="24"/>
          <w:szCs w:val="24"/>
        </w:rPr>
        <w:t xml:space="preserve">-комнатных квартир </w:t>
      </w:r>
      <w:r w:rsidR="008249E5">
        <w:rPr>
          <w:rFonts w:cs="Arial"/>
          <w:sz w:val="24"/>
          <w:szCs w:val="24"/>
        </w:rPr>
        <w:t xml:space="preserve">уменьшилась </w:t>
      </w:r>
      <w:r w:rsidR="003513D6" w:rsidRPr="004109C9">
        <w:rPr>
          <w:rFonts w:cs="Arial"/>
          <w:sz w:val="24"/>
          <w:szCs w:val="24"/>
        </w:rPr>
        <w:t xml:space="preserve">и составила – </w:t>
      </w:r>
      <w:r w:rsidR="008249E5">
        <w:rPr>
          <w:rFonts w:cs="Arial"/>
          <w:sz w:val="24"/>
          <w:szCs w:val="24"/>
        </w:rPr>
        <w:t>22</w:t>
      </w:r>
      <w:r w:rsidR="00F21B2C" w:rsidRPr="004109C9">
        <w:rPr>
          <w:rFonts w:cs="Arial"/>
          <w:sz w:val="24"/>
          <w:szCs w:val="24"/>
        </w:rPr>
        <w:t>% (</w:t>
      </w:r>
      <w:r w:rsidR="008249E5">
        <w:rPr>
          <w:rFonts w:cs="Arial"/>
          <w:sz w:val="24"/>
          <w:szCs w:val="24"/>
        </w:rPr>
        <w:t xml:space="preserve">темп прироста 13,49% </w:t>
      </w:r>
      <w:proofErr w:type="spellStart"/>
      <w:r w:rsidR="008249E5">
        <w:rPr>
          <w:rFonts w:cs="Arial"/>
          <w:sz w:val="24"/>
          <w:szCs w:val="24"/>
        </w:rPr>
        <w:t>↓</w:t>
      </w:r>
      <w:proofErr w:type="spellEnd"/>
      <w:r w:rsidRPr="004109C9">
        <w:rPr>
          <w:rFonts w:cs="Arial"/>
          <w:sz w:val="24"/>
          <w:szCs w:val="24"/>
        </w:rPr>
        <w:t xml:space="preserve">). </w:t>
      </w:r>
      <w:r w:rsidR="008249E5">
        <w:rPr>
          <w:rFonts w:cs="Arial"/>
          <w:sz w:val="24"/>
          <w:szCs w:val="24"/>
        </w:rPr>
        <w:t>Доля предложения</w:t>
      </w:r>
      <w:r w:rsidRPr="004109C9">
        <w:rPr>
          <w:rFonts w:cs="Arial"/>
          <w:sz w:val="24"/>
          <w:szCs w:val="24"/>
        </w:rPr>
        <w:t xml:space="preserve"> по многокомнатным квартирам</w:t>
      </w:r>
      <w:r w:rsidR="00325FA9" w:rsidRPr="004109C9">
        <w:rPr>
          <w:rFonts w:cs="Arial"/>
          <w:sz w:val="24"/>
          <w:szCs w:val="24"/>
        </w:rPr>
        <w:t xml:space="preserve"> </w:t>
      </w:r>
      <w:r w:rsidR="0068272F" w:rsidRPr="004109C9">
        <w:rPr>
          <w:rFonts w:cs="Arial"/>
          <w:sz w:val="24"/>
          <w:szCs w:val="24"/>
        </w:rPr>
        <w:t>составил</w:t>
      </w:r>
      <w:r w:rsidR="00B50A80" w:rsidRPr="004109C9">
        <w:rPr>
          <w:rFonts w:cs="Arial"/>
          <w:sz w:val="24"/>
          <w:szCs w:val="24"/>
        </w:rPr>
        <w:t xml:space="preserve"> </w:t>
      </w:r>
      <w:r w:rsidR="008249E5">
        <w:rPr>
          <w:rFonts w:cs="Arial"/>
          <w:sz w:val="24"/>
          <w:szCs w:val="24"/>
        </w:rPr>
        <w:t>16</w:t>
      </w:r>
      <w:r w:rsidRPr="004109C9">
        <w:rPr>
          <w:rFonts w:cs="Arial"/>
          <w:sz w:val="24"/>
          <w:szCs w:val="24"/>
        </w:rPr>
        <w:t>%.</w:t>
      </w:r>
    </w:p>
    <w:p w:rsidR="008249E5" w:rsidRPr="004109C9" w:rsidRDefault="008249E5" w:rsidP="008249E5">
      <w:pPr>
        <w:spacing w:after="0" w:line="240" w:lineRule="auto"/>
        <w:ind w:firstLine="567"/>
        <w:jc w:val="center"/>
        <w:rPr>
          <w:rFonts w:cs="Arial"/>
          <w:sz w:val="24"/>
          <w:szCs w:val="24"/>
        </w:rPr>
      </w:pPr>
      <w:r w:rsidRPr="008249E5">
        <w:rPr>
          <w:rFonts w:cs="Arial"/>
          <w:noProof/>
          <w:sz w:val="24"/>
          <w:szCs w:val="24"/>
        </w:rPr>
        <w:drawing>
          <wp:inline distT="0" distB="0" distL="0" distR="0">
            <wp:extent cx="4572000" cy="274320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272F" w:rsidRPr="00932572" w:rsidRDefault="0068272F" w:rsidP="00B52766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6914D9" w:rsidRDefault="002B76CF" w:rsidP="00721AB6">
      <w:pPr>
        <w:spacing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 w:rsidR="00AA0F60">
        <w:rPr>
          <w:rFonts w:ascii="Arial" w:hAnsi="Arial" w:cs="Arial"/>
          <w:i/>
          <w:sz w:val="16"/>
          <w:szCs w:val="16"/>
        </w:rPr>
        <w:t xml:space="preserve">, </w:t>
      </w:r>
      <w:r w:rsidR="004109C9">
        <w:rPr>
          <w:rFonts w:ascii="Arial" w:hAnsi="Arial" w:cs="Arial"/>
          <w:i/>
          <w:sz w:val="16"/>
          <w:szCs w:val="16"/>
        </w:rPr>
        <w:t>2015</w:t>
      </w:r>
      <w:r w:rsidR="00482AF2">
        <w:rPr>
          <w:rFonts w:ascii="Arial" w:hAnsi="Arial" w:cs="Arial"/>
          <w:i/>
          <w:sz w:val="16"/>
          <w:szCs w:val="16"/>
        </w:rPr>
        <w:t>г</w:t>
      </w:r>
      <w:r w:rsidR="00AA0F60">
        <w:rPr>
          <w:rFonts w:ascii="Arial" w:hAnsi="Arial" w:cs="Arial"/>
          <w:i/>
          <w:sz w:val="16"/>
          <w:szCs w:val="16"/>
        </w:rPr>
        <w:t>.</w:t>
      </w:r>
    </w:p>
    <w:p w:rsidR="00CE4A48" w:rsidRDefault="00CE4A48" w:rsidP="00B52766">
      <w:pPr>
        <w:spacing w:line="240" w:lineRule="auto"/>
        <w:ind w:firstLine="284"/>
        <w:jc w:val="both"/>
        <w:rPr>
          <w:rFonts w:cs="Arial"/>
          <w:sz w:val="24"/>
          <w:szCs w:val="24"/>
        </w:rPr>
      </w:pPr>
      <w:r w:rsidRPr="004109C9">
        <w:rPr>
          <w:rFonts w:cs="Arial"/>
          <w:sz w:val="24"/>
          <w:szCs w:val="24"/>
        </w:rPr>
        <w:t xml:space="preserve">Объем предложения квартир в панельных домах </w:t>
      </w:r>
      <w:r w:rsidR="00F21B2C" w:rsidRPr="004109C9">
        <w:rPr>
          <w:rFonts w:cs="Arial"/>
          <w:sz w:val="24"/>
          <w:szCs w:val="24"/>
        </w:rPr>
        <w:t>остался без изменений</w:t>
      </w:r>
      <w:r w:rsidR="003513D6" w:rsidRPr="004109C9">
        <w:rPr>
          <w:rFonts w:cs="Arial"/>
          <w:sz w:val="24"/>
          <w:szCs w:val="24"/>
        </w:rPr>
        <w:t xml:space="preserve"> и в </w:t>
      </w:r>
      <w:r w:rsidR="008249E5">
        <w:rPr>
          <w:rFonts w:cs="Arial"/>
          <w:sz w:val="24"/>
          <w:szCs w:val="24"/>
        </w:rPr>
        <w:t>январе 2015г.</w:t>
      </w:r>
      <w:r w:rsidR="003513D6" w:rsidRPr="004109C9">
        <w:rPr>
          <w:rFonts w:cs="Arial"/>
          <w:sz w:val="24"/>
          <w:szCs w:val="24"/>
        </w:rPr>
        <w:t xml:space="preserve"> составил </w:t>
      </w:r>
      <w:r w:rsidR="00960EC5" w:rsidRPr="004109C9">
        <w:rPr>
          <w:rFonts w:cs="Arial"/>
          <w:sz w:val="24"/>
          <w:szCs w:val="24"/>
          <w:shd w:val="clear" w:color="auto" w:fill="FFFFFF" w:themeFill="background1"/>
        </w:rPr>
        <w:t>66</w:t>
      </w:r>
      <w:r w:rsidRPr="004109C9">
        <w:rPr>
          <w:rFonts w:cs="Arial"/>
          <w:sz w:val="24"/>
          <w:szCs w:val="24"/>
          <w:shd w:val="clear" w:color="auto" w:fill="FFFFFF" w:themeFill="background1"/>
        </w:rPr>
        <w:t>%,</w:t>
      </w:r>
      <w:r w:rsidRPr="004109C9">
        <w:rPr>
          <w:rFonts w:cs="Arial"/>
          <w:sz w:val="24"/>
          <w:szCs w:val="24"/>
        </w:rPr>
        <w:t xml:space="preserve"> в </w:t>
      </w:r>
      <w:r w:rsidR="003513D6" w:rsidRPr="004109C9">
        <w:rPr>
          <w:rFonts w:cs="Arial"/>
          <w:sz w:val="24"/>
          <w:szCs w:val="24"/>
        </w:rPr>
        <w:t xml:space="preserve">кирпичных домах представлено </w:t>
      </w:r>
      <w:r w:rsidR="00F21B2C" w:rsidRPr="004109C9">
        <w:rPr>
          <w:rFonts w:cs="Arial"/>
          <w:sz w:val="24"/>
          <w:szCs w:val="24"/>
        </w:rPr>
        <w:t>31</w:t>
      </w:r>
      <w:r w:rsidR="00325FA9" w:rsidRPr="004109C9">
        <w:rPr>
          <w:rFonts w:cs="Arial"/>
          <w:sz w:val="24"/>
          <w:szCs w:val="24"/>
        </w:rPr>
        <w:t xml:space="preserve">% в </w:t>
      </w:r>
      <w:r w:rsidR="003513D6" w:rsidRPr="004109C9">
        <w:rPr>
          <w:rFonts w:cs="Arial"/>
          <w:sz w:val="24"/>
          <w:szCs w:val="24"/>
        </w:rPr>
        <w:t xml:space="preserve">общем объеме предложения, </w:t>
      </w:r>
      <w:r w:rsidR="00F21B2C" w:rsidRPr="004109C9">
        <w:rPr>
          <w:rFonts w:cs="Arial"/>
          <w:sz w:val="24"/>
          <w:szCs w:val="24"/>
        </w:rPr>
        <w:t xml:space="preserve">объем предложения в монолитно-каркасных домах не изменился и составил 2%, объем предложения в блочных домах </w:t>
      </w:r>
      <w:r w:rsidR="008249E5">
        <w:rPr>
          <w:rFonts w:cs="Arial"/>
          <w:sz w:val="24"/>
          <w:szCs w:val="24"/>
        </w:rPr>
        <w:t>-</w:t>
      </w:r>
      <w:r w:rsidR="00F21B2C" w:rsidRPr="004109C9">
        <w:rPr>
          <w:rFonts w:cs="Arial"/>
          <w:sz w:val="24"/>
          <w:szCs w:val="24"/>
        </w:rPr>
        <w:t xml:space="preserve"> 1%</w:t>
      </w:r>
      <w:r w:rsidRPr="004109C9">
        <w:rPr>
          <w:rFonts w:cs="Arial"/>
          <w:sz w:val="24"/>
          <w:szCs w:val="24"/>
        </w:rPr>
        <w:t>.</w:t>
      </w:r>
    </w:p>
    <w:p w:rsidR="008249E5" w:rsidRPr="004109C9" w:rsidRDefault="008249E5" w:rsidP="008249E5">
      <w:pPr>
        <w:spacing w:line="240" w:lineRule="auto"/>
        <w:ind w:firstLine="284"/>
        <w:jc w:val="center"/>
        <w:rPr>
          <w:rFonts w:cs="Arial"/>
          <w:sz w:val="24"/>
          <w:szCs w:val="24"/>
        </w:rPr>
      </w:pPr>
      <w:r w:rsidRPr="008249E5">
        <w:rPr>
          <w:rFonts w:cs="Arial"/>
          <w:noProof/>
          <w:sz w:val="24"/>
          <w:szCs w:val="24"/>
        </w:rPr>
        <w:lastRenderedPageBreak/>
        <w:drawing>
          <wp:inline distT="0" distB="0" distL="0" distR="0">
            <wp:extent cx="4572000" cy="3114675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4A48" w:rsidRDefault="00CE4A48" w:rsidP="00CE4A48">
      <w:pPr>
        <w:spacing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 w:rsidR="004109C9">
        <w:rPr>
          <w:rFonts w:ascii="Arial" w:hAnsi="Arial" w:cs="Arial"/>
          <w:i/>
          <w:sz w:val="16"/>
          <w:szCs w:val="16"/>
        </w:rPr>
        <w:t>, 2015</w:t>
      </w:r>
      <w:r>
        <w:rPr>
          <w:rFonts w:ascii="Arial" w:hAnsi="Arial" w:cs="Arial"/>
          <w:i/>
          <w:sz w:val="16"/>
          <w:szCs w:val="16"/>
        </w:rPr>
        <w:t>г.</w:t>
      </w:r>
    </w:p>
    <w:p w:rsidR="00CE4A48" w:rsidRPr="004109C9" w:rsidRDefault="00CE4A48" w:rsidP="004109C9">
      <w:pPr>
        <w:spacing w:line="240" w:lineRule="auto"/>
        <w:ind w:firstLine="567"/>
        <w:jc w:val="both"/>
        <w:rPr>
          <w:rFonts w:cs="Arial"/>
          <w:sz w:val="24"/>
          <w:szCs w:val="24"/>
        </w:rPr>
      </w:pPr>
      <w:r w:rsidRPr="004109C9">
        <w:rPr>
          <w:rFonts w:cs="Arial"/>
          <w:sz w:val="24"/>
          <w:szCs w:val="24"/>
        </w:rPr>
        <w:t>Наибольший объем предложения 1-комнатных квартир представлен в ценово</w:t>
      </w:r>
      <w:r w:rsidR="009B1B86" w:rsidRPr="004109C9">
        <w:rPr>
          <w:rFonts w:cs="Arial"/>
          <w:sz w:val="24"/>
          <w:szCs w:val="24"/>
        </w:rPr>
        <w:t>м диапазоне от 1750 до 2000</w:t>
      </w:r>
      <w:r w:rsidR="00EB50F7" w:rsidRPr="004109C9">
        <w:rPr>
          <w:rFonts w:cs="Arial"/>
          <w:sz w:val="24"/>
          <w:szCs w:val="24"/>
        </w:rPr>
        <w:t xml:space="preserve"> тысяч рублей</w:t>
      </w:r>
      <w:r w:rsidR="003513D6" w:rsidRPr="004109C9">
        <w:rPr>
          <w:rFonts w:cs="Arial"/>
          <w:sz w:val="24"/>
          <w:szCs w:val="24"/>
        </w:rPr>
        <w:t xml:space="preserve"> – </w:t>
      </w:r>
      <w:r w:rsidR="0059345C">
        <w:rPr>
          <w:rFonts w:cs="Arial"/>
          <w:sz w:val="24"/>
          <w:szCs w:val="24"/>
        </w:rPr>
        <w:t>27,02</w:t>
      </w:r>
      <w:r w:rsidRPr="004109C9">
        <w:rPr>
          <w:rFonts w:cs="Arial"/>
          <w:sz w:val="24"/>
          <w:szCs w:val="24"/>
        </w:rPr>
        <w:t>%</w:t>
      </w:r>
      <w:r w:rsidR="00590D87" w:rsidRPr="004109C9">
        <w:rPr>
          <w:rFonts w:cs="Arial"/>
          <w:sz w:val="24"/>
          <w:szCs w:val="24"/>
        </w:rPr>
        <w:t xml:space="preserve"> (от объема 1-комнатных квартир)</w:t>
      </w:r>
      <w:r w:rsidRPr="004109C9">
        <w:rPr>
          <w:rFonts w:cs="Arial"/>
          <w:sz w:val="24"/>
          <w:szCs w:val="24"/>
        </w:rPr>
        <w:t xml:space="preserve">, 2-комнатных – от </w:t>
      </w:r>
      <w:r w:rsidR="003513D6" w:rsidRPr="004109C9">
        <w:rPr>
          <w:rFonts w:cs="Arial"/>
          <w:sz w:val="24"/>
          <w:szCs w:val="24"/>
        </w:rPr>
        <w:t>2000 до 225</w:t>
      </w:r>
      <w:r w:rsidR="009B1B86" w:rsidRPr="004109C9">
        <w:rPr>
          <w:rFonts w:cs="Arial"/>
          <w:sz w:val="24"/>
          <w:szCs w:val="24"/>
        </w:rPr>
        <w:t>0</w:t>
      </w:r>
      <w:r w:rsidR="00EB50F7" w:rsidRPr="004109C9">
        <w:rPr>
          <w:rFonts w:cs="Arial"/>
          <w:sz w:val="24"/>
          <w:szCs w:val="24"/>
        </w:rPr>
        <w:t xml:space="preserve"> тысяч рублей</w:t>
      </w:r>
      <w:r w:rsidR="003513D6" w:rsidRPr="004109C9">
        <w:rPr>
          <w:rFonts w:cs="Arial"/>
          <w:sz w:val="24"/>
          <w:szCs w:val="24"/>
        </w:rPr>
        <w:t xml:space="preserve"> (</w:t>
      </w:r>
      <w:r w:rsidR="0059345C">
        <w:rPr>
          <w:rFonts w:cs="Arial"/>
          <w:sz w:val="24"/>
          <w:szCs w:val="24"/>
        </w:rPr>
        <w:t>32,07</w:t>
      </w:r>
      <w:r w:rsidR="00231C51" w:rsidRPr="004109C9">
        <w:rPr>
          <w:rFonts w:cs="Arial"/>
          <w:sz w:val="24"/>
          <w:szCs w:val="24"/>
        </w:rPr>
        <w:t>%</w:t>
      </w:r>
      <w:r w:rsidR="00590D87" w:rsidRPr="004109C9">
        <w:rPr>
          <w:rFonts w:cs="Arial"/>
          <w:sz w:val="24"/>
          <w:szCs w:val="24"/>
        </w:rPr>
        <w:t xml:space="preserve"> от объема 2-комнатных квартир</w:t>
      </w:r>
      <w:r w:rsidR="00231C51" w:rsidRPr="004109C9">
        <w:rPr>
          <w:rFonts w:cs="Arial"/>
          <w:sz w:val="24"/>
          <w:szCs w:val="24"/>
        </w:rPr>
        <w:t>)</w:t>
      </w:r>
      <w:r w:rsidRPr="004109C9">
        <w:rPr>
          <w:rFonts w:cs="Arial"/>
          <w:sz w:val="24"/>
          <w:szCs w:val="24"/>
        </w:rPr>
        <w:t xml:space="preserve">, 3-комнатных – от </w:t>
      </w:r>
      <w:r w:rsidR="00F21B2C" w:rsidRPr="004109C9">
        <w:rPr>
          <w:rFonts w:cs="Arial"/>
          <w:sz w:val="24"/>
          <w:szCs w:val="24"/>
        </w:rPr>
        <w:t>3000 до 3250</w:t>
      </w:r>
      <w:r w:rsidR="00EB50F7" w:rsidRPr="004109C9">
        <w:rPr>
          <w:rFonts w:cs="Arial"/>
          <w:sz w:val="24"/>
          <w:szCs w:val="24"/>
        </w:rPr>
        <w:t xml:space="preserve"> тысяч рублей</w:t>
      </w:r>
      <w:r w:rsidR="00A17DF4" w:rsidRPr="004109C9">
        <w:rPr>
          <w:rFonts w:cs="Arial"/>
          <w:sz w:val="24"/>
          <w:szCs w:val="24"/>
        </w:rPr>
        <w:t xml:space="preserve"> – </w:t>
      </w:r>
      <w:r w:rsidR="0059345C">
        <w:rPr>
          <w:rFonts w:cs="Arial"/>
          <w:sz w:val="24"/>
          <w:szCs w:val="24"/>
        </w:rPr>
        <w:t>20,42</w:t>
      </w:r>
      <w:r w:rsidRPr="004109C9">
        <w:rPr>
          <w:rFonts w:cs="Arial"/>
          <w:sz w:val="24"/>
          <w:szCs w:val="24"/>
        </w:rPr>
        <w:t>%</w:t>
      </w:r>
      <w:r w:rsidR="00231C51" w:rsidRPr="004109C9">
        <w:rPr>
          <w:rFonts w:cs="Arial"/>
          <w:sz w:val="24"/>
          <w:szCs w:val="24"/>
        </w:rPr>
        <w:t xml:space="preserve"> (от объема 3-комнатных квартир)</w:t>
      </w:r>
      <w:r w:rsidRPr="004109C9">
        <w:rPr>
          <w:rFonts w:cs="Arial"/>
          <w:sz w:val="24"/>
          <w:szCs w:val="24"/>
        </w:rPr>
        <w:t>.</w:t>
      </w:r>
      <w:r w:rsidR="009B1B86" w:rsidRPr="004109C9">
        <w:rPr>
          <w:rFonts w:cs="Arial"/>
          <w:sz w:val="24"/>
          <w:szCs w:val="24"/>
        </w:rPr>
        <w:t xml:space="preserve"> Наибольшая доля предложения многокомнатных квартир представлена в ценовом диапазоне от</w:t>
      </w:r>
      <w:r w:rsidR="00B52766" w:rsidRPr="004109C9">
        <w:rPr>
          <w:rFonts w:cs="Arial"/>
          <w:sz w:val="24"/>
          <w:szCs w:val="24"/>
        </w:rPr>
        <w:t xml:space="preserve"> 3250 до 3500 тысяч рублей -  3</w:t>
      </w:r>
      <w:r w:rsidR="0059345C">
        <w:rPr>
          <w:rFonts w:cs="Arial"/>
          <w:sz w:val="24"/>
          <w:szCs w:val="24"/>
        </w:rPr>
        <w:t>6,03</w:t>
      </w:r>
      <w:r w:rsidR="009B1B86" w:rsidRPr="004109C9">
        <w:rPr>
          <w:rFonts w:cs="Arial"/>
          <w:sz w:val="24"/>
          <w:szCs w:val="24"/>
        </w:rPr>
        <w:t>% (от объема многокомнатных квартир).</w:t>
      </w:r>
    </w:p>
    <w:p w:rsidR="00CE4A48" w:rsidRDefault="0059345C" w:rsidP="00932572">
      <w:pPr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59345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120130" cy="2576531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B50F7" w:rsidRDefault="00EB50F7" w:rsidP="00EB50F7">
      <w:pPr>
        <w:spacing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 w:rsidR="004109C9">
        <w:rPr>
          <w:rFonts w:ascii="Arial" w:hAnsi="Arial" w:cs="Arial"/>
          <w:i/>
          <w:sz w:val="16"/>
          <w:szCs w:val="16"/>
        </w:rPr>
        <w:t>, 2015</w:t>
      </w:r>
      <w:r>
        <w:rPr>
          <w:rFonts w:ascii="Arial" w:hAnsi="Arial" w:cs="Arial"/>
          <w:i/>
          <w:sz w:val="16"/>
          <w:szCs w:val="16"/>
        </w:rPr>
        <w:t>г.</w:t>
      </w:r>
    </w:p>
    <w:p w:rsidR="00EB50F7" w:rsidRPr="004109C9" w:rsidRDefault="00EB50F7" w:rsidP="004109C9">
      <w:pPr>
        <w:spacing w:line="240" w:lineRule="auto"/>
        <w:ind w:firstLine="567"/>
        <w:jc w:val="both"/>
        <w:rPr>
          <w:rFonts w:cs="Arial"/>
          <w:sz w:val="24"/>
          <w:szCs w:val="24"/>
        </w:rPr>
      </w:pPr>
      <w:r w:rsidRPr="004109C9">
        <w:rPr>
          <w:rFonts w:cs="Arial"/>
          <w:sz w:val="24"/>
          <w:szCs w:val="24"/>
        </w:rPr>
        <w:t>Наибольший объем предложения на вторичном рынке жилья в Нагорном районе представлен в ценовом диапазоне от 2</w:t>
      </w:r>
      <w:r w:rsidR="003513D6" w:rsidRPr="004109C9">
        <w:rPr>
          <w:rFonts w:cs="Arial"/>
          <w:sz w:val="24"/>
          <w:szCs w:val="24"/>
        </w:rPr>
        <w:t xml:space="preserve">250 до 2500 тысяч рублей – </w:t>
      </w:r>
      <w:r w:rsidR="0059345C">
        <w:rPr>
          <w:rFonts w:cs="Arial"/>
          <w:sz w:val="24"/>
          <w:szCs w:val="24"/>
        </w:rPr>
        <w:t>16,22</w:t>
      </w:r>
      <w:r w:rsidRPr="004109C9">
        <w:rPr>
          <w:rFonts w:cs="Arial"/>
          <w:sz w:val="24"/>
          <w:szCs w:val="24"/>
        </w:rPr>
        <w:t xml:space="preserve">%, </w:t>
      </w:r>
      <w:r w:rsidR="00247246" w:rsidRPr="004109C9">
        <w:rPr>
          <w:rFonts w:cs="Arial"/>
          <w:sz w:val="24"/>
          <w:szCs w:val="24"/>
        </w:rPr>
        <w:t>в подгорной части города – от 1250</w:t>
      </w:r>
      <w:r w:rsidR="00B52766" w:rsidRPr="004109C9">
        <w:rPr>
          <w:rFonts w:cs="Arial"/>
          <w:sz w:val="24"/>
          <w:szCs w:val="24"/>
        </w:rPr>
        <w:t xml:space="preserve"> до </w:t>
      </w:r>
      <w:r w:rsidR="00247246" w:rsidRPr="004109C9">
        <w:rPr>
          <w:rFonts w:cs="Arial"/>
          <w:sz w:val="24"/>
          <w:szCs w:val="24"/>
        </w:rPr>
        <w:t xml:space="preserve">1500 </w:t>
      </w:r>
      <w:r w:rsidR="00B52766" w:rsidRPr="004109C9">
        <w:rPr>
          <w:rFonts w:cs="Arial"/>
          <w:sz w:val="24"/>
          <w:szCs w:val="24"/>
        </w:rPr>
        <w:t>ты</w:t>
      </w:r>
      <w:r w:rsidR="003513D6" w:rsidRPr="004109C9">
        <w:rPr>
          <w:rFonts w:cs="Arial"/>
          <w:sz w:val="24"/>
          <w:szCs w:val="24"/>
        </w:rPr>
        <w:t xml:space="preserve">сяч рублей – </w:t>
      </w:r>
      <w:r w:rsidR="0059345C">
        <w:rPr>
          <w:rFonts w:cs="Arial"/>
          <w:sz w:val="24"/>
          <w:szCs w:val="24"/>
        </w:rPr>
        <w:t>15,19</w:t>
      </w:r>
      <w:r w:rsidRPr="004109C9">
        <w:rPr>
          <w:rFonts w:cs="Arial"/>
          <w:sz w:val="24"/>
          <w:szCs w:val="24"/>
        </w:rPr>
        <w:t>%.</w:t>
      </w:r>
    </w:p>
    <w:p w:rsidR="00B52766" w:rsidRPr="00EC05E3" w:rsidRDefault="0059345C" w:rsidP="003431DD">
      <w:pPr>
        <w:spacing w:line="240" w:lineRule="auto"/>
        <w:ind w:firstLine="709"/>
        <w:jc w:val="center"/>
        <w:rPr>
          <w:rFonts w:ascii="Arial" w:hAnsi="Arial" w:cs="Arial"/>
        </w:rPr>
      </w:pPr>
      <w:r w:rsidRPr="0059345C">
        <w:rPr>
          <w:rFonts w:ascii="Arial" w:hAnsi="Arial" w:cs="Arial"/>
          <w:noProof/>
        </w:rPr>
        <w:lastRenderedPageBreak/>
        <w:drawing>
          <wp:inline distT="0" distB="0" distL="0" distR="0">
            <wp:extent cx="4848225" cy="3038475"/>
            <wp:effectExtent l="0" t="0" r="0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50F7" w:rsidRDefault="00EB50F7" w:rsidP="00EB50F7">
      <w:pPr>
        <w:spacing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 w:rsidR="004109C9">
        <w:rPr>
          <w:rFonts w:ascii="Arial" w:hAnsi="Arial" w:cs="Arial"/>
          <w:i/>
          <w:sz w:val="16"/>
          <w:szCs w:val="16"/>
        </w:rPr>
        <w:t>, 2015</w:t>
      </w:r>
      <w:r>
        <w:rPr>
          <w:rFonts w:ascii="Arial" w:hAnsi="Arial" w:cs="Arial"/>
          <w:i/>
          <w:sz w:val="16"/>
          <w:szCs w:val="16"/>
        </w:rPr>
        <w:t>г.</w:t>
      </w:r>
    </w:p>
    <w:p w:rsidR="00EB50F7" w:rsidRPr="004109C9" w:rsidRDefault="00F500EA" w:rsidP="004109C9">
      <w:pPr>
        <w:spacing w:line="240" w:lineRule="auto"/>
        <w:ind w:firstLine="567"/>
        <w:jc w:val="both"/>
        <w:rPr>
          <w:rFonts w:cs="Arial"/>
          <w:sz w:val="24"/>
          <w:szCs w:val="24"/>
        </w:rPr>
      </w:pPr>
      <w:proofErr w:type="gramStart"/>
      <w:r w:rsidRPr="004109C9">
        <w:rPr>
          <w:rFonts w:cs="Arial"/>
          <w:sz w:val="24"/>
          <w:szCs w:val="24"/>
        </w:rPr>
        <w:t>Анализ структуры предложения по диапазонам площадей в разрезе по размерам квартир выявил</w:t>
      </w:r>
      <w:r w:rsidR="00AD048F" w:rsidRPr="004109C9">
        <w:rPr>
          <w:rFonts w:cs="Arial"/>
          <w:sz w:val="24"/>
          <w:szCs w:val="24"/>
        </w:rPr>
        <w:t>, чт</w:t>
      </w:r>
      <w:r w:rsidR="00126225" w:rsidRPr="004109C9">
        <w:rPr>
          <w:rFonts w:cs="Arial"/>
          <w:sz w:val="24"/>
          <w:szCs w:val="24"/>
        </w:rPr>
        <w:t xml:space="preserve">о 1-комнатные квартиры в </w:t>
      </w:r>
      <w:r w:rsidR="0059345C">
        <w:rPr>
          <w:rFonts w:cs="Arial"/>
          <w:sz w:val="24"/>
          <w:szCs w:val="24"/>
        </w:rPr>
        <w:t>январе 2015</w:t>
      </w:r>
      <w:r w:rsidRPr="004109C9">
        <w:rPr>
          <w:rFonts w:cs="Arial"/>
          <w:sz w:val="24"/>
          <w:szCs w:val="24"/>
        </w:rPr>
        <w:t>г. предлагались в основном п</w:t>
      </w:r>
      <w:r w:rsidR="00E90052" w:rsidRPr="004109C9">
        <w:rPr>
          <w:rFonts w:cs="Arial"/>
          <w:sz w:val="24"/>
          <w:szCs w:val="24"/>
        </w:rPr>
        <w:t>лощадью от 35 до 40 кв.м. (</w:t>
      </w:r>
      <w:r w:rsidR="0059345C">
        <w:rPr>
          <w:rFonts w:cs="Arial"/>
          <w:sz w:val="24"/>
          <w:szCs w:val="24"/>
        </w:rPr>
        <w:t>27,02</w:t>
      </w:r>
      <w:r w:rsidRPr="004109C9">
        <w:rPr>
          <w:rFonts w:cs="Arial"/>
          <w:sz w:val="24"/>
          <w:szCs w:val="24"/>
        </w:rPr>
        <w:t>%), 2-комна</w:t>
      </w:r>
      <w:r w:rsidR="00E90052" w:rsidRPr="004109C9">
        <w:rPr>
          <w:rFonts w:cs="Arial"/>
          <w:sz w:val="24"/>
          <w:szCs w:val="24"/>
        </w:rPr>
        <w:t>тные – от 50 до 55 кв.м. (</w:t>
      </w:r>
      <w:r w:rsidR="0059345C">
        <w:rPr>
          <w:rFonts w:cs="Arial"/>
          <w:sz w:val="24"/>
          <w:szCs w:val="24"/>
        </w:rPr>
        <w:t>36,05</w:t>
      </w:r>
      <w:r w:rsidRPr="004109C9">
        <w:rPr>
          <w:rFonts w:cs="Arial"/>
          <w:sz w:val="24"/>
          <w:szCs w:val="24"/>
        </w:rPr>
        <w:t>%), 3-комна</w:t>
      </w:r>
      <w:r w:rsidR="00AD048F" w:rsidRPr="004109C9">
        <w:rPr>
          <w:rFonts w:cs="Arial"/>
          <w:sz w:val="24"/>
          <w:szCs w:val="24"/>
        </w:rPr>
        <w:t>тные – от 60</w:t>
      </w:r>
      <w:r w:rsidR="00666264" w:rsidRPr="004109C9">
        <w:rPr>
          <w:rFonts w:cs="Arial"/>
          <w:sz w:val="24"/>
          <w:szCs w:val="24"/>
        </w:rPr>
        <w:t xml:space="preserve"> </w:t>
      </w:r>
      <w:r w:rsidR="00AD048F" w:rsidRPr="004109C9">
        <w:rPr>
          <w:rFonts w:cs="Arial"/>
          <w:sz w:val="24"/>
          <w:szCs w:val="24"/>
        </w:rPr>
        <w:t>до 65</w:t>
      </w:r>
      <w:r w:rsidR="00666264" w:rsidRPr="004109C9">
        <w:rPr>
          <w:rFonts w:cs="Arial"/>
          <w:sz w:val="24"/>
          <w:szCs w:val="24"/>
        </w:rPr>
        <w:t xml:space="preserve"> кв.м. </w:t>
      </w:r>
      <w:r w:rsidR="00E90052" w:rsidRPr="004109C9">
        <w:rPr>
          <w:rFonts w:cs="Arial"/>
          <w:sz w:val="24"/>
          <w:szCs w:val="24"/>
        </w:rPr>
        <w:t>(</w:t>
      </w:r>
      <w:r w:rsidR="0059345C">
        <w:rPr>
          <w:rFonts w:cs="Arial"/>
          <w:sz w:val="24"/>
          <w:szCs w:val="24"/>
        </w:rPr>
        <w:t>33,54</w:t>
      </w:r>
      <w:r w:rsidR="00666264" w:rsidRPr="004109C9">
        <w:rPr>
          <w:rFonts w:cs="Arial"/>
          <w:sz w:val="24"/>
          <w:szCs w:val="24"/>
        </w:rPr>
        <w:t>%), многоком</w:t>
      </w:r>
      <w:r w:rsidR="00E90052" w:rsidRPr="004109C9">
        <w:rPr>
          <w:rFonts w:cs="Arial"/>
          <w:sz w:val="24"/>
          <w:szCs w:val="24"/>
        </w:rPr>
        <w:t xml:space="preserve">натные – от 75 до 80 кв.м. </w:t>
      </w:r>
      <w:r w:rsidR="00126225" w:rsidRPr="004109C9">
        <w:rPr>
          <w:rFonts w:cs="Arial"/>
          <w:sz w:val="24"/>
          <w:szCs w:val="24"/>
        </w:rPr>
        <w:t>(6</w:t>
      </w:r>
      <w:r w:rsidR="0059345C">
        <w:rPr>
          <w:rFonts w:cs="Arial"/>
          <w:sz w:val="24"/>
          <w:szCs w:val="24"/>
        </w:rPr>
        <w:t>4,34</w:t>
      </w:r>
      <w:r w:rsidR="00666264" w:rsidRPr="004109C9">
        <w:rPr>
          <w:rFonts w:cs="Arial"/>
          <w:sz w:val="24"/>
          <w:szCs w:val="24"/>
        </w:rPr>
        <w:t>%).</w:t>
      </w:r>
      <w:proofErr w:type="gramEnd"/>
    </w:p>
    <w:p w:rsidR="00F500EA" w:rsidRDefault="0059345C" w:rsidP="00932572">
      <w:pPr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59345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2625" cy="2743200"/>
            <wp:effectExtent l="0" t="0" r="0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500EA" w:rsidRDefault="00F500EA" w:rsidP="00F500EA">
      <w:pPr>
        <w:spacing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 w:rsidR="004109C9">
        <w:rPr>
          <w:rFonts w:ascii="Arial" w:hAnsi="Arial" w:cs="Arial"/>
          <w:i/>
          <w:sz w:val="16"/>
          <w:szCs w:val="16"/>
        </w:rPr>
        <w:t>, 2015</w:t>
      </w:r>
      <w:r>
        <w:rPr>
          <w:rFonts w:ascii="Arial" w:hAnsi="Arial" w:cs="Arial"/>
          <w:i/>
          <w:sz w:val="16"/>
          <w:szCs w:val="16"/>
        </w:rPr>
        <w:t>г.</w:t>
      </w:r>
    </w:p>
    <w:p w:rsidR="00023E18" w:rsidRPr="008120BF" w:rsidRDefault="00023E18" w:rsidP="008120BF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A4E1B" w:rsidRDefault="001A4E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A44DD" w:rsidRDefault="00785BA5" w:rsidP="00EA44DD">
      <w:pPr>
        <w:spacing w:after="0"/>
        <w:jc w:val="center"/>
        <w:rPr>
          <w:rFonts w:ascii="Arial" w:hAnsi="Arial" w:cs="Arial"/>
          <w:b/>
        </w:rPr>
      </w:pPr>
      <w:r w:rsidRPr="00025BE3">
        <w:rPr>
          <w:rFonts w:ascii="Arial" w:hAnsi="Arial" w:cs="Arial"/>
          <w:b/>
        </w:rPr>
        <w:lastRenderedPageBreak/>
        <w:t>А</w:t>
      </w:r>
      <w:r>
        <w:rPr>
          <w:rFonts w:ascii="Arial" w:hAnsi="Arial" w:cs="Arial"/>
          <w:b/>
        </w:rPr>
        <w:t>НАЛИЗ ЦЕНОВОЙ СИТУАЦИИ НА ВТОРИЧНОМ РЫНКЕ</w:t>
      </w:r>
      <w:r w:rsidR="00EA44DD">
        <w:rPr>
          <w:rFonts w:ascii="Arial" w:hAnsi="Arial" w:cs="Arial"/>
          <w:b/>
        </w:rPr>
        <w:t xml:space="preserve"> Г. ТОБОЛЬСК </w:t>
      </w:r>
    </w:p>
    <w:p w:rsidR="00785BA5" w:rsidRDefault="003636CD" w:rsidP="00F500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ЯНВАРЬ 2015</w:t>
      </w:r>
      <w:r w:rsidR="00F500EA">
        <w:rPr>
          <w:rFonts w:ascii="Arial" w:hAnsi="Arial" w:cs="Arial"/>
          <w:b/>
        </w:rPr>
        <w:t>Г.</w:t>
      </w:r>
    </w:p>
    <w:p w:rsidR="00F500EA" w:rsidRPr="004109C9" w:rsidRDefault="00AD048F" w:rsidP="004109C9">
      <w:pPr>
        <w:spacing w:line="240" w:lineRule="auto"/>
        <w:ind w:firstLine="567"/>
        <w:jc w:val="both"/>
        <w:rPr>
          <w:rFonts w:cs="Arial"/>
          <w:sz w:val="24"/>
          <w:szCs w:val="24"/>
        </w:rPr>
      </w:pPr>
      <w:r w:rsidRPr="004109C9">
        <w:rPr>
          <w:rFonts w:cs="Arial"/>
          <w:sz w:val="24"/>
          <w:szCs w:val="24"/>
        </w:rPr>
        <w:t xml:space="preserve">Удельная </w:t>
      </w:r>
      <w:r w:rsidR="00EA44DD" w:rsidRPr="004109C9">
        <w:rPr>
          <w:rFonts w:cs="Arial"/>
          <w:sz w:val="24"/>
          <w:szCs w:val="24"/>
        </w:rPr>
        <w:t xml:space="preserve">цена предложения в </w:t>
      </w:r>
      <w:r w:rsidR="004109C9" w:rsidRPr="004109C9">
        <w:rPr>
          <w:rFonts w:cs="Arial"/>
          <w:sz w:val="24"/>
          <w:szCs w:val="24"/>
        </w:rPr>
        <w:t>январе 2015</w:t>
      </w:r>
      <w:r w:rsidR="00F500EA" w:rsidRPr="004109C9">
        <w:rPr>
          <w:rFonts w:cs="Arial"/>
          <w:sz w:val="24"/>
          <w:szCs w:val="24"/>
        </w:rPr>
        <w:t>г. составил</w:t>
      </w:r>
      <w:r w:rsidR="00C37B1D" w:rsidRPr="004109C9">
        <w:rPr>
          <w:rFonts w:cs="Arial"/>
          <w:sz w:val="24"/>
          <w:szCs w:val="24"/>
        </w:rPr>
        <w:t xml:space="preserve">а </w:t>
      </w:r>
      <w:r w:rsidR="006D25B2">
        <w:rPr>
          <w:rFonts w:cs="Arial"/>
          <w:sz w:val="24"/>
          <w:szCs w:val="24"/>
        </w:rPr>
        <w:t>49023</w:t>
      </w:r>
      <w:r w:rsidR="00231C51" w:rsidRPr="004109C9">
        <w:rPr>
          <w:rFonts w:cs="Arial"/>
          <w:sz w:val="24"/>
          <w:szCs w:val="24"/>
        </w:rPr>
        <w:t xml:space="preserve"> рублей. </w:t>
      </w:r>
      <w:r w:rsidR="008F0080" w:rsidRPr="004109C9">
        <w:rPr>
          <w:rFonts w:cs="Arial"/>
          <w:sz w:val="24"/>
          <w:szCs w:val="24"/>
        </w:rPr>
        <w:t xml:space="preserve">Темп </w:t>
      </w:r>
      <w:r w:rsidR="00A332E8" w:rsidRPr="004109C9">
        <w:rPr>
          <w:rFonts w:cs="Arial"/>
          <w:sz w:val="24"/>
          <w:szCs w:val="24"/>
        </w:rPr>
        <w:t xml:space="preserve">прироста к </w:t>
      </w:r>
      <w:r w:rsidR="004109C9" w:rsidRPr="004109C9">
        <w:rPr>
          <w:rFonts w:cs="Arial"/>
          <w:sz w:val="24"/>
          <w:szCs w:val="24"/>
        </w:rPr>
        <w:t>декабрю</w:t>
      </w:r>
      <w:r w:rsidR="00FB21DE" w:rsidRPr="004109C9">
        <w:rPr>
          <w:rFonts w:cs="Arial"/>
          <w:sz w:val="24"/>
          <w:szCs w:val="24"/>
        </w:rPr>
        <w:t xml:space="preserve"> </w:t>
      </w:r>
      <w:r w:rsidR="00690DD3">
        <w:rPr>
          <w:rFonts w:cs="Arial"/>
          <w:sz w:val="24"/>
          <w:szCs w:val="24"/>
        </w:rPr>
        <w:t>2014</w:t>
      </w:r>
      <w:r w:rsidR="00EA44DD" w:rsidRPr="004109C9">
        <w:rPr>
          <w:rFonts w:cs="Arial"/>
          <w:sz w:val="24"/>
          <w:szCs w:val="24"/>
        </w:rPr>
        <w:t xml:space="preserve">г. составил </w:t>
      </w:r>
      <w:r w:rsidR="00703F47">
        <w:rPr>
          <w:rFonts w:cs="Arial"/>
          <w:sz w:val="24"/>
          <w:szCs w:val="24"/>
        </w:rPr>
        <w:t>0,34</w:t>
      </w:r>
      <w:r w:rsidR="00F500EA" w:rsidRPr="004109C9">
        <w:rPr>
          <w:rFonts w:cs="Arial"/>
          <w:sz w:val="24"/>
          <w:szCs w:val="24"/>
        </w:rPr>
        <w:t xml:space="preserve">% </w:t>
      </w:r>
      <w:proofErr w:type="spellStart"/>
      <w:r w:rsidR="00FB21DE" w:rsidRPr="004109C9">
        <w:rPr>
          <w:rFonts w:cs="Calibri"/>
          <w:sz w:val="24"/>
          <w:szCs w:val="24"/>
        </w:rPr>
        <w:t>↓</w:t>
      </w:r>
      <w:proofErr w:type="spellEnd"/>
      <w:r w:rsidR="00F500EA" w:rsidRPr="004109C9">
        <w:rPr>
          <w:rFonts w:cs="Arial"/>
          <w:sz w:val="24"/>
          <w:szCs w:val="24"/>
        </w:rPr>
        <w:t>.</w:t>
      </w:r>
      <w:r w:rsidR="00932572" w:rsidRPr="004109C9">
        <w:rPr>
          <w:rFonts w:cs="Arial"/>
          <w:sz w:val="24"/>
          <w:szCs w:val="24"/>
        </w:rPr>
        <w:t xml:space="preserve"> </w:t>
      </w:r>
      <w:r w:rsidR="00F500EA" w:rsidRPr="004109C9">
        <w:rPr>
          <w:rFonts w:cs="Arial"/>
          <w:sz w:val="24"/>
          <w:szCs w:val="24"/>
        </w:rPr>
        <w:t>Те</w:t>
      </w:r>
      <w:r w:rsidR="00C37B1D" w:rsidRPr="004109C9">
        <w:rPr>
          <w:rFonts w:cs="Arial"/>
          <w:sz w:val="24"/>
          <w:szCs w:val="24"/>
        </w:rPr>
        <w:t xml:space="preserve">мп прироста к </w:t>
      </w:r>
      <w:r w:rsidR="00703F47">
        <w:rPr>
          <w:rFonts w:cs="Arial"/>
          <w:sz w:val="24"/>
          <w:szCs w:val="24"/>
        </w:rPr>
        <w:t>январю 2014</w:t>
      </w:r>
      <w:r w:rsidR="00A332E8" w:rsidRPr="004109C9">
        <w:rPr>
          <w:rFonts w:cs="Arial"/>
          <w:sz w:val="24"/>
          <w:szCs w:val="24"/>
        </w:rPr>
        <w:t xml:space="preserve">г. – </w:t>
      </w:r>
      <w:r w:rsidR="00703F47">
        <w:rPr>
          <w:rFonts w:cs="Arial"/>
          <w:sz w:val="24"/>
          <w:szCs w:val="24"/>
        </w:rPr>
        <w:t>4,82</w:t>
      </w:r>
      <w:r w:rsidR="00F500EA" w:rsidRPr="004109C9">
        <w:rPr>
          <w:rFonts w:cs="Arial"/>
          <w:sz w:val="24"/>
          <w:szCs w:val="24"/>
        </w:rPr>
        <w:t>% (</w:t>
      </w:r>
      <w:proofErr w:type="spellStart"/>
      <w:r w:rsidR="00A332E8" w:rsidRPr="004109C9">
        <w:rPr>
          <w:rFonts w:cs="Calibri"/>
          <w:sz w:val="24"/>
          <w:szCs w:val="24"/>
        </w:rPr>
        <w:t>↓</w:t>
      </w:r>
      <w:proofErr w:type="spellEnd"/>
      <w:r w:rsidR="00F500EA" w:rsidRPr="004109C9">
        <w:rPr>
          <w:rFonts w:cs="Arial"/>
          <w:sz w:val="24"/>
          <w:szCs w:val="24"/>
        </w:rPr>
        <w:t>).</w:t>
      </w:r>
      <w:r w:rsidR="004C5AA3" w:rsidRPr="004109C9">
        <w:rPr>
          <w:rFonts w:cs="Arial"/>
          <w:sz w:val="24"/>
          <w:szCs w:val="24"/>
        </w:rPr>
        <w:t xml:space="preserve"> </w:t>
      </w:r>
      <w:r w:rsidR="00E4058F" w:rsidRPr="004109C9">
        <w:rPr>
          <w:rFonts w:cs="Arial"/>
          <w:sz w:val="24"/>
          <w:szCs w:val="24"/>
        </w:rPr>
        <w:t xml:space="preserve"> С апреля 2013</w:t>
      </w:r>
      <w:r w:rsidR="00231C51" w:rsidRPr="004109C9">
        <w:rPr>
          <w:rFonts w:cs="Arial"/>
          <w:sz w:val="24"/>
          <w:szCs w:val="24"/>
        </w:rPr>
        <w:t xml:space="preserve"> г. на рынке вторичного жилья в г</w:t>
      </w:r>
      <w:proofErr w:type="gramStart"/>
      <w:r w:rsidR="00231C51" w:rsidRPr="004109C9">
        <w:rPr>
          <w:rFonts w:cs="Arial"/>
          <w:sz w:val="24"/>
          <w:szCs w:val="24"/>
        </w:rPr>
        <w:t>.Т</w:t>
      </w:r>
      <w:proofErr w:type="gramEnd"/>
      <w:r w:rsidR="00231C51" w:rsidRPr="004109C9">
        <w:rPr>
          <w:rFonts w:cs="Arial"/>
          <w:sz w:val="24"/>
          <w:szCs w:val="24"/>
        </w:rPr>
        <w:t>обольске наблюдается стабилизация удельной цены.</w:t>
      </w:r>
      <w:r w:rsidR="004643F2" w:rsidRPr="004109C9">
        <w:rPr>
          <w:rFonts w:cs="Arial"/>
          <w:sz w:val="24"/>
          <w:szCs w:val="24"/>
        </w:rPr>
        <w:t xml:space="preserve"> Ежемесячные колебания не превышают 1</w:t>
      </w:r>
      <w:r w:rsidR="008A5009" w:rsidRPr="004109C9">
        <w:rPr>
          <w:rFonts w:cs="Arial"/>
          <w:sz w:val="24"/>
          <w:szCs w:val="24"/>
        </w:rPr>
        <w:t>,5</w:t>
      </w:r>
      <w:r w:rsidR="004643F2" w:rsidRPr="004109C9">
        <w:rPr>
          <w:rFonts w:cs="Arial"/>
          <w:sz w:val="24"/>
          <w:szCs w:val="24"/>
        </w:rPr>
        <w:t>%.</w:t>
      </w:r>
    </w:p>
    <w:p w:rsidR="00247246" w:rsidRDefault="006D25B2" w:rsidP="00AD048F">
      <w:pPr>
        <w:ind w:firstLine="709"/>
        <w:jc w:val="both"/>
        <w:rPr>
          <w:rFonts w:ascii="Arial" w:hAnsi="Arial" w:cs="Arial"/>
        </w:rPr>
      </w:pPr>
      <w:r w:rsidRPr="006D25B2">
        <w:rPr>
          <w:rFonts w:ascii="Arial" w:hAnsi="Arial" w:cs="Arial"/>
        </w:rPr>
        <w:drawing>
          <wp:inline distT="0" distB="0" distL="0" distR="0">
            <wp:extent cx="6120130" cy="2008671"/>
            <wp:effectExtent l="0" t="0" r="0" b="0"/>
            <wp:docPr id="1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253F1" w:rsidRDefault="005253F1" w:rsidP="005253F1">
      <w:pPr>
        <w:spacing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>
        <w:rPr>
          <w:rFonts w:ascii="Arial" w:hAnsi="Arial" w:cs="Arial"/>
          <w:i/>
          <w:sz w:val="16"/>
          <w:szCs w:val="16"/>
        </w:rPr>
        <w:t>, 201</w:t>
      </w:r>
      <w:r w:rsidR="004109C9">
        <w:rPr>
          <w:rFonts w:ascii="Arial" w:hAnsi="Arial" w:cs="Arial"/>
          <w:i/>
          <w:sz w:val="16"/>
          <w:szCs w:val="16"/>
        </w:rPr>
        <w:t>5</w:t>
      </w:r>
      <w:r>
        <w:rPr>
          <w:rFonts w:ascii="Arial" w:hAnsi="Arial" w:cs="Arial"/>
          <w:i/>
          <w:sz w:val="16"/>
          <w:szCs w:val="16"/>
        </w:rPr>
        <w:t>г.</w:t>
      </w:r>
    </w:p>
    <w:p w:rsidR="005253F1" w:rsidRPr="004109C9" w:rsidRDefault="005253F1" w:rsidP="004109C9">
      <w:pPr>
        <w:spacing w:line="240" w:lineRule="auto"/>
        <w:ind w:firstLine="567"/>
        <w:jc w:val="both"/>
        <w:rPr>
          <w:rFonts w:cs="Arial"/>
          <w:sz w:val="24"/>
          <w:szCs w:val="24"/>
        </w:rPr>
      </w:pPr>
      <w:r w:rsidRPr="004109C9">
        <w:rPr>
          <w:rFonts w:cs="Arial"/>
          <w:sz w:val="24"/>
          <w:szCs w:val="24"/>
        </w:rPr>
        <w:t>В разрезе по размеру квартир наибольшее снижение удельной</w:t>
      </w:r>
      <w:r w:rsidR="008A5009" w:rsidRPr="004109C9">
        <w:rPr>
          <w:rFonts w:cs="Arial"/>
          <w:sz w:val="24"/>
          <w:szCs w:val="24"/>
        </w:rPr>
        <w:t xml:space="preserve"> цены предложения составило </w:t>
      </w:r>
      <w:r w:rsidR="00005974">
        <w:rPr>
          <w:rFonts w:cs="Arial"/>
          <w:sz w:val="24"/>
          <w:szCs w:val="24"/>
        </w:rPr>
        <w:t>0,02</w:t>
      </w:r>
      <w:r w:rsidRPr="004109C9">
        <w:rPr>
          <w:rFonts w:cs="Arial"/>
          <w:sz w:val="24"/>
          <w:szCs w:val="24"/>
        </w:rPr>
        <w:t>% (</w:t>
      </w:r>
      <w:proofErr w:type="spellStart"/>
      <w:r w:rsidRPr="004109C9">
        <w:rPr>
          <w:rFonts w:cs="Calibri"/>
          <w:sz w:val="24"/>
          <w:szCs w:val="24"/>
        </w:rPr>
        <w:t>↓</w:t>
      </w:r>
      <w:proofErr w:type="spellEnd"/>
      <w:r w:rsidR="008A5009" w:rsidRPr="004109C9">
        <w:rPr>
          <w:rFonts w:cs="Arial"/>
          <w:sz w:val="24"/>
          <w:szCs w:val="24"/>
        </w:rPr>
        <w:t>) на</w:t>
      </w:r>
      <w:r w:rsidR="00D531F9" w:rsidRPr="004109C9">
        <w:rPr>
          <w:rFonts w:cs="Arial"/>
          <w:sz w:val="24"/>
          <w:szCs w:val="24"/>
        </w:rPr>
        <w:t xml:space="preserve"> </w:t>
      </w:r>
      <w:r w:rsidR="00005974">
        <w:rPr>
          <w:rFonts w:cs="Arial"/>
          <w:sz w:val="24"/>
          <w:szCs w:val="24"/>
        </w:rPr>
        <w:t>3</w:t>
      </w:r>
      <w:r w:rsidR="00C37B1D" w:rsidRPr="004109C9">
        <w:rPr>
          <w:rFonts w:cs="Arial"/>
          <w:sz w:val="24"/>
          <w:szCs w:val="24"/>
        </w:rPr>
        <w:t>-комнатные квартиры (</w:t>
      </w:r>
      <w:r w:rsidR="00005974">
        <w:rPr>
          <w:rFonts w:cs="Arial"/>
          <w:sz w:val="24"/>
          <w:szCs w:val="24"/>
        </w:rPr>
        <w:t>47355</w:t>
      </w:r>
      <w:r w:rsidRPr="004109C9">
        <w:rPr>
          <w:rFonts w:cs="Arial"/>
          <w:sz w:val="24"/>
          <w:szCs w:val="24"/>
        </w:rPr>
        <w:t xml:space="preserve"> руб./к</w:t>
      </w:r>
      <w:r w:rsidR="00C37B1D" w:rsidRPr="004109C9">
        <w:rPr>
          <w:rFonts w:cs="Arial"/>
          <w:sz w:val="24"/>
          <w:szCs w:val="24"/>
        </w:rPr>
        <w:t>в.м.)</w:t>
      </w:r>
      <w:r w:rsidRPr="004109C9">
        <w:rPr>
          <w:rFonts w:cs="Arial"/>
          <w:sz w:val="24"/>
          <w:szCs w:val="24"/>
        </w:rPr>
        <w:t xml:space="preserve">. </w:t>
      </w:r>
      <w:r w:rsidR="00005974">
        <w:rPr>
          <w:rFonts w:cs="Arial"/>
          <w:sz w:val="24"/>
          <w:szCs w:val="24"/>
        </w:rPr>
        <w:t>По остальным видам квартирам можно наблюдать увеличение цены</w:t>
      </w:r>
      <w:proofErr w:type="gramStart"/>
      <w:r w:rsidR="00005974">
        <w:rPr>
          <w:rFonts w:cs="Arial"/>
          <w:sz w:val="24"/>
          <w:szCs w:val="24"/>
        </w:rPr>
        <w:t>.</w:t>
      </w:r>
      <w:proofErr w:type="gramEnd"/>
      <w:r w:rsidR="00005974">
        <w:rPr>
          <w:rFonts w:cs="Arial"/>
          <w:sz w:val="24"/>
          <w:szCs w:val="24"/>
        </w:rPr>
        <w:t xml:space="preserve"> Рост</w:t>
      </w:r>
      <w:r w:rsidR="00247246" w:rsidRPr="004109C9">
        <w:rPr>
          <w:rFonts w:cs="Arial"/>
          <w:sz w:val="24"/>
          <w:szCs w:val="24"/>
        </w:rPr>
        <w:t xml:space="preserve"> цены на </w:t>
      </w:r>
      <w:r w:rsidR="00005974">
        <w:rPr>
          <w:rFonts w:cs="Arial"/>
          <w:sz w:val="24"/>
          <w:szCs w:val="24"/>
        </w:rPr>
        <w:t>1</w:t>
      </w:r>
      <w:r w:rsidR="008A5009" w:rsidRPr="004109C9">
        <w:rPr>
          <w:rFonts w:cs="Arial"/>
          <w:sz w:val="24"/>
          <w:szCs w:val="24"/>
        </w:rPr>
        <w:t xml:space="preserve">-комнатные квартиры в </w:t>
      </w:r>
      <w:r w:rsidR="00005974">
        <w:rPr>
          <w:rFonts w:cs="Arial"/>
          <w:sz w:val="24"/>
          <w:szCs w:val="24"/>
        </w:rPr>
        <w:t>январе 2015г. составил</w:t>
      </w:r>
      <w:r w:rsidR="008A5009" w:rsidRPr="004109C9">
        <w:rPr>
          <w:rFonts w:cs="Arial"/>
          <w:sz w:val="24"/>
          <w:szCs w:val="24"/>
        </w:rPr>
        <w:t xml:space="preserve"> </w:t>
      </w:r>
      <w:r w:rsidR="00005974">
        <w:rPr>
          <w:rFonts w:cs="Arial"/>
          <w:sz w:val="24"/>
          <w:szCs w:val="24"/>
        </w:rPr>
        <w:t>0,93</w:t>
      </w:r>
      <w:r w:rsidR="008A5009" w:rsidRPr="004109C9">
        <w:rPr>
          <w:rFonts w:cs="Arial"/>
          <w:sz w:val="24"/>
          <w:szCs w:val="24"/>
        </w:rPr>
        <w:t>% (</w:t>
      </w:r>
      <w:r w:rsidR="00005974">
        <w:rPr>
          <w:rFonts w:cs="Arial"/>
          <w:sz w:val="24"/>
          <w:szCs w:val="24"/>
        </w:rPr>
        <w:t>↑</w:t>
      </w:r>
      <w:r w:rsidR="008A5009" w:rsidRPr="004109C9">
        <w:rPr>
          <w:rFonts w:cs="Arial"/>
          <w:sz w:val="24"/>
          <w:szCs w:val="24"/>
        </w:rPr>
        <w:t>),</w:t>
      </w:r>
      <w:r w:rsidR="00005974">
        <w:rPr>
          <w:rFonts w:cs="Arial"/>
          <w:sz w:val="24"/>
          <w:szCs w:val="24"/>
        </w:rPr>
        <w:t xml:space="preserve"> увеличение</w:t>
      </w:r>
      <w:r w:rsidR="00AD048F" w:rsidRPr="004109C9">
        <w:rPr>
          <w:rFonts w:cs="Arial"/>
          <w:sz w:val="24"/>
          <w:szCs w:val="24"/>
        </w:rPr>
        <w:t xml:space="preserve"> цены</w:t>
      </w:r>
      <w:r w:rsidR="004643F2" w:rsidRPr="004109C9">
        <w:rPr>
          <w:rFonts w:cs="Arial"/>
          <w:sz w:val="24"/>
          <w:szCs w:val="24"/>
        </w:rPr>
        <w:t xml:space="preserve"> на </w:t>
      </w:r>
      <w:r w:rsidR="00247246" w:rsidRPr="004109C9">
        <w:rPr>
          <w:rFonts w:cs="Arial"/>
          <w:sz w:val="24"/>
          <w:szCs w:val="24"/>
        </w:rPr>
        <w:t>много</w:t>
      </w:r>
      <w:r w:rsidR="00AD048F" w:rsidRPr="004109C9">
        <w:rPr>
          <w:rFonts w:cs="Arial"/>
          <w:sz w:val="24"/>
          <w:szCs w:val="24"/>
        </w:rPr>
        <w:t xml:space="preserve">комнатные квартиры </w:t>
      </w:r>
      <w:r w:rsidR="00247246" w:rsidRPr="004109C9">
        <w:rPr>
          <w:rFonts w:cs="Arial"/>
          <w:sz w:val="24"/>
          <w:szCs w:val="24"/>
        </w:rPr>
        <w:t>–</w:t>
      </w:r>
      <w:r w:rsidR="008A5009" w:rsidRPr="004109C9">
        <w:rPr>
          <w:rFonts w:cs="Arial"/>
          <w:sz w:val="24"/>
          <w:szCs w:val="24"/>
        </w:rPr>
        <w:t xml:space="preserve"> </w:t>
      </w:r>
      <w:r w:rsidR="00005974">
        <w:rPr>
          <w:rFonts w:cs="Arial"/>
          <w:sz w:val="24"/>
          <w:szCs w:val="24"/>
        </w:rPr>
        <w:t>0,43%</w:t>
      </w:r>
      <w:r w:rsidR="008A5009" w:rsidRPr="004109C9">
        <w:rPr>
          <w:rFonts w:cs="Arial"/>
          <w:sz w:val="24"/>
          <w:szCs w:val="24"/>
        </w:rPr>
        <w:t xml:space="preserve"> (</w:t>
      </w:r>
      <w:r w:rsidR="00005974">
        <w:rPr>
          <w:rFonts w:cs="Arial"/>
          <w:sz w:val="24"/>
          <w:szCs w:val="24"/>
        </w:rPr>
        <w:t>↑</w:t>
      </w:r>
      <w:r w:rsidR="008A5009" w:rsidRPr="004109C9">
        <w:rPr>
          <w:rFonts w:cs="Arial"/>
          <w:sz w:val="24"/>
          <w:szCs w:val="24"/>
        </w:rPr>
        <w:t>)</w:t>
      </w:r>
      <w:r w:rsidR="00C37B1D" w:rsidRPr="004109C9">
        <w:rPr>
          <w:rFonts w:cs="Arial"/>
          <w:sz w:val="24"/>
          <w:szCs w:val="24"/>
        </w:rPr>
        <w:t xml:space="preserve"> (Удельная цена составила </w:t>
      </w:r>
      <w:r w:rsidR="00247246" w:rsidRPr="004109C9">
        <w:rPr>
          <w:rFonts w:cs="Arial"/>
          <w:sz w:val="24"/>
          <w:szCs w:val="24"/>
        </w:rPr>
        <w:t>44</w:t>
      </w:r>
      <w:r w:rsidR="00005974">
        <w:rPr>
          <w:rFonts w:cs="Arial"/>
          <w:sz w:val="24"/>
          <w:szCs w:val="24"/>
        </w:rPr>
        <w:t>528</w:t>
      </w:r>
      <w:r w:rsidR="00AD048F" w:rsidRPr="004109C9">
        <w:rPr>
          <w:rFonts w:cs="Arial"/>
          <w:sz w:val="24"/>
          <w:szCs w:val="24"/>
        </w:rPr>
        <w:t xml:space="preserve"> руб./кв.м.). Удельная цена на </w:t>
      </w:r>
      <w:r w:rsidR="00005974">
        <w:rPr>
          <w:rFonts w:cs="Arial"/>
          <w:sz w:val="24"/>
          <w:szCs w:val="24"/>
        </w:rPr>
        <w:t>2</w:t>
      </w:r>
      <w:r w:rsidR="00247246" w:rsidRPr="004109C9">
        <w:rPr>
          <w:rFonts w:cs="Arial"/>
          <w:sz w:val="24"/>
          <w:szCs w:val="24"/>
        </w:rPr>
        <w:t>-комнатные</w:t>
      </w:r>
      <w:r w:rsidR="00AD048F" w:rsidRPr="004109C9">
        <w:rPr>
          <w:rFonts w:cs="Arial"/>
          <w:sz w:val="24"/>
          <w:szCs w:val="24"/>
        </w:rPr>
        <w:t xml:space="preserve"> квартиры в </w:t>
      </w:r>
      <w:r w:rsidR="004109C9" w:rsidRPr="004109C9">
        <w:rPr>
          <w:rFonts w:cs="Arial"/>
          <w:sz w:val="24"/>
          <w:szCs w:val="24"/>
        </w:rPr>
        <w:t>январе 2015</w:t>
      </w:r>
      <w:r w:rsidR="00C37B1D" w:rsidRPr="004109C9">
        <w:rPr>
          <w:rFonts w:cs="Arial"/>
          <w:sz w:val="24"/>
          <w:szCs w:val="24"/>
        </w:rPr>
        <w:t xml:space="preserve">г. </w:t>
      </w:r>
      <w:r w:rsidR="00247246" w:rsidRPr="004109C9">
        <w:rPr>
          <w:rFonts w:cs="Arial"/>
          <w:sz w:val="24"/>
          <w:szCs w:val="24"/>
        </w:rPr>
        <w:t xml:space="preserve">немного выросла и </w:t>
      </w:r>
      <w:r w:rsidR="00C37B1D" w:rsidRPr="004109C9">
        <w:rPr>
          <w:rFonts w:cs="Arial"/>
          <w:sz w:val="24"/>
          <w:szCs w:val="24"/>
        </w:rPr>
        <w:t xml:space="preserve">составила </w:t>
      </w:r>
      <w:r w:rsidR="00005974">
        <w:rPr>
          <w:rFonts w:cs="Arial"/>
          <w:sz w:val="24"/>
          <w:szCs w:val="24"/>
        </w:rPr>
        <w:t>49356</w:t>
      </w:r>
      <w:r w:rsidR="00AD048F" w:rsidRPr="004109C9">
        <w:rPr>
          <w:rFonts w:cs="Arial"/>
          <w:sz w:val="24"/>
          <w:szCs w:val="24"/>
        </w:rPr>
        <w:t xml:space="preserve"> руб./кв.м.</w:t>
      </w:r>
      <w:r w:rsidRPr="004109C9">
        <w:rPr>
          <w:rFonts w:cs="Arial"/>
          <w:sz w:val="24"/>
          <w:szCs w:val="24"/>
        </w:rPr>
        <w:t>, темп прироста к прошлому месяцу –</w:t>
      </w:r>
      <w:r w:rsidR="008A5009" w:rsidRPr="004109C9">
        <w:rPr>
          <w:rFonts w:cs="Arial"/>
          <w:sz w:val="24"/>
          <w:szCs w:val="24"/>
        </w:rPr>
        <w:t xml:space="preserve"> </w:t>
      </w:r>
      <w:r w:rsidR="00005974">
        <w:rPr>
          <w:rFonts w:cs="Arial"/>
          <w:sz w:val="24"/>
          <w:szCs w:val="24"/>
        </w:rPr>
        <w:t>0,06</w:t>
      </w:r>
      <w:r w:rsidRPr="004109C9">
        <w:rPr>
          <w:rFonts w:cs="Arial"/>
          <w:sz w:val="24"/>
          <w:szCs w:val="24"/>
        </w:rPr>
        <w:t>% (</w:t>
      </w:r>
      <w:r w:rsidR="00247246" w:rsidRPr="004109C9">
        <w:rPr>
          <w:rFonts w:cs="Calibri"/>
          <w:sz w:val="24"/>
          <w:szCs w:val="24"/>
        </w:rPr>
        <w:t>↑</w:t>
      </w:r>
      <w:r w:rsidRPr="004109C9">
        <w:rPr>
          <w:rFonts w:cs="Arial"/>
          <w:sz w:val="24"/>
          <w:szCs w:val="24"/>
        </w:rPr>
        <w:t>).</w:t>
      </w:r>
    </w:p>
    <w:p w:rsidR="00247246" w:rsidRDefault="00005974" w:rsidP="00247246">
      <w:pPr>
        <w:ind w:firstLine="709"/>
        <w:jc w:val="center"/>
        <w:rPr>
          <w:rFonts w:ascii="Arial" w:hAnsi="Arial" w:cs="Arial"/>
        </w:rPr>
      </w:pPr>
      <w:r w:rsidRPr="00005974">
        <w:rPr>
          <w:rFonts w:ascii="Arial" w:hAnsi="Arial" w:cs="Arial"/>
        </w:rPr>
        <w:drawing>
          <wp:inline distT="0" distB="0" distL="0" distR="0">
            <wp:extent cx="4572000" cy="2743200"/>
            <wp:effectExtent l="0" t="0" r="0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253F1" w:rsidRDefault="005253F1" w:rsidP="005253F1">
      <w:pPr>
        <w:spacing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 w:rsidR="004109C9">
        <w:rPr>
          <w:rFonts w:ascii="Arial" w:hAnsi="Arial" w:cs="Arial"/>
          <w:i/>
          <w:sz w:val="16"/>
          <w:szCs w:val="16"/>
        </w:rPr>
        <w:t>, 2015</w:t>
      </w:r>
      <w:r>
        <w:rPr>
          <w:rFonts w:ascii="Arial" w:hAnsi="Arial" w:cs="Arial"/>
          <w:i/>
          <w:sz w:val="16"/>
          <w:szCs w:val="16"/>
        </w:rPr>
        <w:t>г.</w:t>
      </w:r>
    </w:p>
    <w:p w:rsidR="005253F1" w:rsidRPr="004109C9" w:rsidRDefault="005253F1" w:rsidP="004109C9">
      <w:pPr>
        <w:spacing w:line="240" w:lineRule="auto"/>
        <w:ind w:firstLine="567"/>
        <w:jc w:val="both"/>
        <w:rPr>
          <w:rFonts w:cs="Arial"/>
          <w:sz w:val="24"/>
          <w:szCs w:val="24"/>
        </w:rPr>
      </w:pPr>
      <w:proofErr w:type="gramStart"/>
      <w:r w:rsidRPr="004109C9">
        <w:rPr>
          <w:rFonts w:cs="Arial"/>
          <w:sz w:val="24"/>
          <w:szCs w:val="24"/>
        </w:rPr>
        <w:t>В разрезе по районам города удельная цена предложения на вторичном рынке в</w:t>
      </w:r>
      <w:r w:rsidR="00304C2A" w:rsidRPr="004109C9">
        <w:rPr>
          <w:rFonts w:cs="Arial"/>
          <w:sz w:val="24"/>
          <w:szCs w:val="24"/>
        </w:rPr>
        <w:t xml:space="preserve"> </w:t>
      </w:r>
      <w:r w:rsidR="005830C0" w:rsidRPr="004109C9">
        <w:rPr>
          <w:rFonts w:cs="Arial"/>
          <w:sz w:val="24"/>
          <w:szCs w:val="24"/>
        </w:rPr>
        <w:t>Нагорном районе составила</w:t>
      </w:r>
      <w:r w:rsidR="00C37B1D" w:rsidRPr="004109C9">
        <w:rPr>
          <w:rFonts w:cs="Arial"/>
          <w:sz w:val="24"/>
          <w:szCs w:val="24"/>
        </w:rPr>
        <w:t xml:space="preserve"> </w:t>
      </w:r>
      <w:r w:rsidR="00005974">
        <w:rPr>
          <w:rFonts w:cs="Arial"/>
          <w:sz w:val="24"/>
          <w:szCs w:val="24"/>
        </w:rPr>
        <w:t>49610</w:t>
      </w:r>
      <w:r w:rsidRPr="004109C9">
        <w:rPr>
          <w:rFonts w:cs="Arial"/>
          <w:sz w:val="24"/>
          <w:szCs w:val="24"/>
        </w:rPr>
        <w:t xml:space="preserve"> рублей за квадратный метр (прирост по сравнению с предыдущим </w:t>
      </w:r>
      <w:r w:rsidR="00BE7BA2" w:rsidRPr="004109C9">
        <w:rPr>
          <w:rFonts w:cs="Arial"/>
          <w:sz w:val="24"/>
          <w:szCs w:val="24"/>
        </w:rPr>
        <w:t xml:space="preserve">месяцем составил </w:t>
      </w:r>
      <w:r w:rsidR="00005974">
        <w:rPr>
          <w:rFonts w:cs="Arial"/>
          <w:sz w:val="24"/>
          <w:szCs w:val="24"/>
        </w:rPr>
        <w:t>0,27</w:t>
      </w:r>
      <w:r w:rsidRPr="004109C9">
        <w:rPr>
          <w:rFonts w:cs="Arial"/>
          <w:sz w:val="24"/>
          <w:szCs w:val="24"/>
        </w:rPr>
        <w:t xml:space="preserve">% </w:t>
      </w:r>
      <w:r w:rsidR="00304C2A" w:rsidRPr="004109C9">
        <w:rPr>
          <w:rFonts w:cs="Arial"/>
          <w:sz w:val="24"/>
          <w:szCs w:val="24"/>
        </w:rPr>
        <w:t>(</w:t>
      </w:r>
      <w:proofErr w:type="spellStart"/>
      <w:r w:rsidR="00005974">
        <w:rPr>
          <w:rFonts w:cs="Arial"/>
          <w:sz w:val="24"/>
          <w:szCs w:val="24"/>
        </w:rPr>
        <w:t>↓</w:t>
      </w:r>
      <w:proofErr w:type="spellEnd"/>
      <w:r w:rsidR="00477104" w:rsidRPr="004109C9">
        <w:rPr>
          <w:rFonts w:cs="Arial"/>
          <w:sz w:val="24"/>
          <w:szCs w:val="24"/>
        </w:rPr>
        <w:t xml:space="preserve">). Удельная цена за квадратный метр в </w:t>
      </w:r>
      <w:r w:rsidR="004643F2" w:rsidRPr="004109C9">
        <w:rPr>
          <w:rFonts w:cs="Arial"/>
          <w:sz w:val="24"/>
          <w:szCs w:val="24"/>
        </w:rPr>
        <w:t>П</w:t>
      </w:r>
      <w:r w:rsidR="005830C0" w:rsidRPr="004109C9">
        <w:rPr>
          <w:rFonts w:cs="Arial"/>
          <w:sz w:val="24"/>
          <w:szCs w:val="24"/>
        </w:rPr>
        <w:t>одг</w:t>
      </w:r>
      <w:r w:rsidR="00C37B1D" w:rsidRPr="004109C9">
        <w:rPr>
          <w:rFonts w:cs="Arial"/>
          <w:sz w:val="24"/>
          <w:szCs w:val="24"/>
        </w:rPr>
        <w:t>о</w:t>
      </w:r>
      <w:r w:rsidR="001959D6" w:rsidRPr="004109C9">
        <w:rPr>
          <w:rFonts w:cs="Arial"/>
          <w:sz w:val="24"/>
          <w:szCs w:val="24"/>
        </w:rPr>
        <w:t xml:space="preserve">рном </w:t>
      </w:r>
      <w:r w:rsidR="001959D6" w:rsidRPr="004109C9">
        <w:rPr>
          <w:rFonts w:cs="Arial"/>
          <w:sz w:val="24"/>
          <w:szCs w:val="24"/>
        </w:rPr>
        <w:lastRenderedPageBreak/>
        <w:t xml:space="preserve">районе составила в </w:t>
      </w:r>
      <w:r w:rsidR="00005974">
        <w:rPr>
          <w:rFonts w:cs="Arial"/>
          <w:sz w:val="24"/>
          <w:szCs w:val="24"/>
        </w:rPr>
        <w:t>январе 2015</w:t>
      </w:r>
      <w:r w:rsidR="005830C0" w:rsidRPr="004109C9">
        <w:rPr>
          <w:rFonts w:cs="Arial"/>
          <w:sz w:val="24"/>
          <w:szCs w:val="24"/>
        </w:rPr>
        <w:t xml:space="preserve">г. – </w:t>
      </w:r>
      <w:r w:rsidR="00005974">
        <w:rPr>
          <w:rFonts w:cs="Arial"/>
          <w:sz w:val="24"/>
          <w:szCs w:val="24"/>
        </w:rPr>
        <w:t>40043</w:t>
      </w:r>
      <w:r w:rsidR="00E70010" w:rsidRPr="004109C9">
        <w:rPr>
          <w:rFonts w:cs="Arial"/>
          <w:sz w:val="24"/>
          <w:szCs w:val="24"/>
        </w:rPr>
        <w:t xml:space="preserve"> </w:t>
      </w:r>
      <w:r w:rsidR="00477104" w:rsidRPr="004109C9">
        <w:rPr>
          <w:rFonts w:cs="Arial"/>
          <w:sz w:val="24"/>
          <w:szCs w:val="24"/>
        </w:rPr>
        <w:t>рублей</w:t>
      </w:r>
      <w:r w:rsidR="00C37B1D" w:rsidRPr="004109C9">
        <w:rPr>
          <w:rFonts w:cs="Arial"/>
          <w:sz w:val="24"/>
          <w:szCs w:val="24"/>
        </w:rPr>
        <w:t xml:space="preserve">, темп прироста к </w:t>
      </w:r>
      <w:r w:rsidR="00E70010" w:rsidRPr="004109C9">
        <w:rPr>
          <w:rFonts w:cs="Arial"/>
          <w:sz w:val="24"/>
          <w:szCs w:val="24"/>
        </w:rPr>
        <w:t>декабрю</w:t>
      </w:r>
      <w:r w:rsidR="004643F2" w:rsidRPr="004109C9">
        <w:rPr>
          <w:rFonts w:cs="Arial"/>
          <w:sz w:val="24"/>
          <w:szCs w:val="24"/>
        </w:rPr>
        <w:t xml:space="preserve"> </w:t>
      </w:r>
      <w:r w:rsidR="001959D6" w:rsidRPr="004109C9">
        <w:rPr>
          <w:rFonts w:cs="Arial"/>
          <w:sz w:val="24"/>
          <w:szCs w:val="24"/>
        </w:rPr>
        <w:t xml:space="preserve">2014г. – </w:t>
      </w:r>
      <w:r w:rsidR="00005974">
        <w:rPr>
          <w:rFonts w:cs="Arial"/>
          <w:sz w:val="24"/>
          <w:szCs w:val="24"/>
        </w:rPr>
        <w:t>5,14</w:t>
      </w:r>
      <w:r w:rsidR="00E70010" w:rsidRPr="004109C9">
        <w:rPr>
          <w:rFonts w:cs="Arial"/>
          <w:sz w:val="24"/>
          <w:szCs w:val="24"/>
        </w:rPr>
        <w:t>% (</w:t>
      </w:r>
      <w:r w:rsidR="00005974">
        <w:rPr>
          <w:rFonts w:cs="Arial"/>
          <w:sz w:val="24"/>
          <w:szCs w:val="24"/>
        </w:rPr>
        <w:t>↑</w:t>
      </w:r>
      <w:r w:rsidR="00304C2A" w:rsidRPr="004109C9">
        <w:rPr>
          <w:rFonts w:cs="Arial"/>
          <w:sz w:val="24"/>
          <w:szCs w:val="24"/>
        </w:rPr>
        <w:t>)</w:t>
      </w:r>
      <w:r w:rsidR="00477104" w:rsidRPr="004109C9">
        <w:rPr>
          <w:rFonts w:cs="Arial"/>
          <w:sz w:val="24"/>
          <w:szCs w:val="24"/>
        </w:rPr>
        <w:t>.</w:t>
      </w:r>
      <w:r w:rsidR="00E70010" w:rsidRPr="004109C9">
        <w:rPr>
          <w:rFonts w:cs="Arial"/>
          <w:sz w:val="24"/>
          <w:szCs w:val="24"/>
        </w:rPr>
        <w:t xml:space="preserve"> Это связано </w:t>
      </w:r>
      <w:r w:rsidR="00512328" w:rsidRPr="004109C9">
        <w:rPr>
          <w:rFonts w:cs="Arial"/>
          <w:sz w:val="24"/>
          <w:szCs w:val="24"/>
        </w:rPr>
        <w:t>с тем, что в Подгорном районе находится всего 4% объектов</w:t>
      </w:r>
      <w:proofErr w:type="gramEnd"/>
      <w:r w:rsidR="00512328" w:rsidRPr="004109C9">
        <w:rPr>
          <w:rFonts w:cs="Arial"/>
          <w:sz w:val="24"/>
          <w:szCs w:val="24"/>
        </w:rPr>
        <w:t xml:space="preserve"> от общего предложения, представленного на вторичном рынке жилой недвижимости</w:t>
      </w:r>
      <w:r w:rsidR="00E70010" w:rsidRPr="004109C9">
        <w:rPr>
          <w:rFonts w:cs="Arial"/>
          <w:sz w:val="24"/>
          <w:szCs w:val="24"/>
        </w:rPr>
        <w:t>.</w:t>
      </w:r>
    </w:p>
    <w:p w:rsidR="00C37B1D" w:rsidRDefault="00005974" w:rsidP="00C37B1D">
      <w:pPr>
        <w:ind w:firstLine="709"/>
        <w:jc w:val="center"/>
        <w:rPr>
          <w:rFonts w:ascii="Arial" w:hAnsi="Arial" w:cs="Arial"/>
        </w:rPr>
      </w:pPr>
      <w:r w:rsidRPr="00005974">
        <w:rPr>
          <w:rFonts w:ascii="Arial" w:hAnsi="Arial" w:cs="Arial"/>
        </w:rPr>
        <w:drawing>
          <wp:inline distT="0" distB="0" distL="0" distR="0">
            <wp:extent cx="4257676" cy="2743200"/>
            <wp:effectExtent l="0" t="0" r="0" b="0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77104" w:rsidRDefault="00477104" w:rsidP="00477104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 w:rsidR="004109C9">
        <w:rPr>
          <w:rFonts w:ascii="Arial" w:hAnsi="Arial" w:cs="Arial"/>
          <w:i/>
          <w:sz w:val="16"/>
          <w:szCs w:val="16"/>
        </w:rPr>
        <w:t>, 2015</w:t>
      </w:r>
      <w:r>
        <w:rPr>
          <w:rFonts w:ascii="Arial" w:hAnsi="Arial" w:cs="Arial"/>
          <w:i/>
          <w:sz w:val="16"/>
          <w:szCs w:val="16"/>
        </w:rPr>
        <w:t>г.</w:t>
      </w:r>
    </w:p>
    <w:p w:rsidR="004643F2" w:rsidRPr="004109C9" w:rsidRDefault="004643F2" w:rsidP="004109C9">
      <w:pPr>
        <w:spacing w:line="240" w:lineRule="auto"/>
        <w:ind w:firstLine="567"/>
        <w:jc w:val="both"/>
        <w:rPr>
          <w:rFonts w:cs="Arial"/>
          <w:sz w:val="24"/>
          <w:szCs w:val="24"/>
        </w:rPr>
      </w:pPr>
      <w:proofErr w:type="gramStart"/>
      <w:r w:rsidRPr="004109C9">
        <w:rPr>
          <w:rFonts w:cs="Arial"/>
          <w:sz w:val="24"/>
          <w:szCs w:val="24"/>
        </w:rPr>
        <w:t>Наибольшая удельная цена предложения в разрезе по типу домостроения</w:t>
      </w:r>
      <w:r w:rsidR="0011054C" w:rsidRPr="004109C9">
        <w:rPr>
          <w:rFonts w:cs="Arial"/>
          <w:sz w:val="24"/>
          <w:szCs w:val="24"/>
        </w:rPr>
        <w:t xml:space="preserve"> с</w:t>
      </w:r>
      <w:r w:rsidR="00C37B1D" w:rsidRPr="004109C9">
        <w:rPr>
          <w:rFonts w:cs="Arial"/>
          <w:sz w:val="24"/>
          <w:szCs w:val="24"/>
        </w:rPr>
        <w:t>ложилась на</w:t>
      </w:r>
      <w:r w:rsidR="00967663" w:rsidRPr="004109C9">
        <w:rPr>
          <w:rFonts w:cs="Arial"/>
          <w:sz w:val="24"/>
          <w:szCs w:val="24"/>
        </w:rPr>
        <w:t xml:space="preserve"> самый многочисленный сегмент - </w:t>
      </w:r>
      <w:r w:rsidR="00C37B1D" w:rsidRPr="004109C9">
        <w:rPr>
          <w:rFonts w:cs="Arial"/>
          <w:sz w:val="24"/>
          <w:szCs w:val="24"/>
        </w:rPr>
        <w:t xml:space="preserve">квартиры </w:t>
      </w:r>
      <w:r w:rsidR="00512328" w:rsidRPr="004109C9">
        <w:rPr>
          <w:rFonts w:cs="Arial"/>
          <w:sz w:val="24"/>
          <w:szCs w:val="24"/>
        </w:rPr>
        <w:t xml:space="preserve"> с </w:t>
      </w:r>
      <w:r w:rsidR="00967663" w:rsidRPr="004109C9">
        <w:rPr>
          <w:rFonts w:cs="Arial"/>
          <w:sz w:val="24"/>
          <w:szCs w:val="24"/>
        </w:rPr>
        <w:t>панельным</w:t>
      </w:r>
      <w:r w:rsidR="00512328" w:rsidRPr="004109C9">
        <w:rPr>
          <w:rFonts w:cs="Arial"/>
          <w:sz w:val="24"/>
          <w:szCs w:val="24"/>
        </w:rPr>
        <w:t xml:space="preserve"> типом домостроения – </w:t>
      </w:r>
      <w:r w:rsidR="006D25B2">
        <w:rPr>
          <w:rFonts w:cs="Arial"/>
          <w:sz w:val="24"/>
          <w:szCs w:val="24"/>
        </w:rPr>
        <w:t>49493</w:t>
      </w:r>
      <w:r w:rsidR="00512328" w:rsidRPr="004109C9">
        <w:rPr>
          <w:rFonts w:cs="Arial"/>
          <w:sz w:val="24"/>
          <w:szCs w:val="24"/>
        </w:rPr>
        <w:t xml:space="preserve"> руб./кв.м. </w:t>
      </w:r>
      <w:r w:rsidR="006D25B2">
        <w:rPr>
          <w:rFonts w:cs="Arial"/>
          <w:sz w:val="24"/>
          <w:szCs w:val="24"/>
        </w:rPr>
        <w:t>Темп прироста составил 0,40</w:t>
      </w:r>
      <w:r w:rsidR="00E70010" w:rsidRPr="004109C9">
        <w:rPr>
          <w:rFonts w:cs="Arial"/>
          <w:sz w:val="24"/>
          <w:szCs w:val="24"/>
        </w:rPr>
        <w:t xml:space="preserve">% </w:t>
      </w:r>
      <w:proofErr w:type="spellStart"/>
      <w:r w:rsidR="006D25B2">
        <w:rPr>
          <w:rFonts w:cs="Arial"/>
          <w:sz w:val="24"/>
          <w:szCs w:val="24"/>
        </w:rPr>
        <w:t>↓</w:t>
      </w:r>
      <w:proofErr w:type="spellEnd"/>
      <w:r w:rsidR="00967663" w:rsidRPr="004109C9">
        <w:rPr>
          <w:rFonts w:cs="Arial"/>
          <w:sz w:val="24"/>
          <w:szCs w:val="24"/>
        </w:rPr>
        <w:t xml:space="preserve">. </w:t>
      </w:r>
      <w:r w:rsidR="008731F6" w:rsidRPr="004109C9">
        <w:rPr>
          <w:rFonts w:cs="Arial"/>
          <w:sz w:val="24"/>
          <w:szCs w:val="24"/>
        </w:rPr>
        <w:t xml:space="preserve">На втором месте - </w:t>
      </w:r>
      <w:r w:rsidR="00C37B1D" w:rsidRPr="004109C9">
        <w:rPr>
          <w:rFonts w:cs="Arial"/>
          <w:sz w:val="24"/>
          <w:szCs w:val="24"/>
        </w:rPr>
        <w:t xml:space="preserve">с </w:t>
      </w:r>
      <w:r w:rsidR="006D25B2">
        <w:rPr>
          <w:rFonts w:cs="Arial"/>
          <w:sz w:val="24"/>
          <w:szCs w:val="24"/>
        </w:rPr>
        <w:t>кирпичным</w:t>
      </w:r>
      <w:r w:rsidR="008731F6" w:rsidRPr="004109C9">
        <w:rPr>
          <w:rFonts w:cs="Arial"/>
          <w:sz w:val="24"/>
          <w:szCs w:val="24"/>
        </w:rPr>
        <w:t xml:space="preserve"> типом домостроения – </w:t>
      </w:r>
      <w:r w:rsidR="006D25B2">
        <w:rPr>
          <w:rFonts w:cs="Arial"/>
          <w:sz w:val="24"/>
          <w:szCs w:val="24"/>
        </w:rPr>
        <w:t>48722</w:t>
      </w:r>
      <w:r w:rsidR="0011054C" w:rsidRPr="004109C9">
        <w:rPr>
          <w:rFonts w:cs="Arial"/>
          <w:sz w:val="24"/>
          <w:szCs w:val="24"/>
        </w:rPr>
        <w:t xml:space="preserve"> руб./кв.м.</w:t>
      </w:r>
      <w:r w:rsidR="006D25B2">
        <w:rPr>
          <w:rFonts w:cs="Arial"/>
          <w:sz w:val="24"/>
          <w:szCs w:val="24"/>
        </w:rPr>
        <w:t xml:space="preserve"> (темп прироста 0,44% ↑)</w:t>
      </w:r>
      <w:r w:rsidR="00C37B1D" w:rsidRPr="004109C9">
        <w:rPr>
          <w:rFonts w:cs="Arial"/>
          <w:sz w:val="24"/>
          <w:szCs w:val="24"/>
        </w:rPr>
        <w:t xml:space="preserve">, на </w:t>
      </w:r>
      <w:r w:rsidR="008731F6" w:rsidRPr="004109C9">
        <w:rPr>
          <w:rFonts w:cs="Arial"/>
          <w:sz w:val="24"/>
          <w:szCs w:val="24"/>
        </w:rPr>
        <w:t>третьем</w:t>
      </w:r>
      <w:r w:rsidR="00C37B1D" w:rsidRPr="004109C9">
        <w:rPr>
          <w:rFonts w:cs="Arial"/>
          <w:sz w:val="24"/>
          <w:szCs w:val="24"/>
        </w:rPr>
        <w:t xml:space="preserve"> м</w:t>
      </w:r>
      <w:r w:rsidR="008731F6" w:rsidRPr="004109C9">
        <w:rPr>
          <w:rFonts w:cs="Arial"/>
          <w:sz w:val="24"/>
          <w:szCs w:val="24"/>
        </w:rPr>
        <w:t xml:space="preserve">есте – с </w:t>
      </w:r>
      <w:r w:rsidR="006D25B2">
        <w:rPr>
          <w:rFonts w:cs="Arial"/>
          <w:sz w:val="24"/>
          <w:szCs w:val="24"/>
        </w:rPr>
        <w:t>блочным</w:t>
      </w:r>
      <w:r w:rsidR="008731F6" w:rsidRPr="004109C9">
        <w:rPr>
          <w:rFonts w:cs="Arial"/>
          <w:sz w:val="24"/>
          <w:szCs w:val="24"/>
        </w:rPr>
        <w:t xml:space="preserve"> типом (</w:t>
      </w:r>
      <w:r w:rsidR="006D25B2">
        <w:rPr>
          <w:rFonts w:cs="Arial"/>
          <w:sz w:val="24"/>
          <w:szCs w:val="24"/>
        </w:rPr>
        <w:t>46616</w:t>
      </w:r>
      <w:r w:rsidR="0011054C" w:rsidRPr="004109C9">
        <w:rPr>
          <w:rFonts w:cs="Arial"/>
          <w:sz w:val="24"/>
          <w:szCs w:val="24"/>
        </w:rPr>
        <w:t xml:space="preserve"> руб./кв.м.</w:t>
      </w:r>
      <w:r w:rsidR="006D25B2">
        <w:rPr>
          <w:rFonts w:cs="Arial"/>
          <w:sz w:val="24"/>
          <w:szCs w:val="24"/>
        </w:rPr>
        <w:t xml:space="preserve">, темп прироста 5,62% </w:t>
      </w:r>
      <w:proofErr w:type="spellStart"/>
      <w:r w:rsidR="006D25B2">
        <w:rPr>
          <w:rFonts w:cs="Arial"/>
          <w:sz w:val="24"/>
          <w:szCs w:val="24"/>
        </w:rPr>
        <w:t>↓</w:t>
      </w:r>
      <w:proofErr w:type="spellEnd"/>
      <w:r w:rsidR="0011054C" w:rsidRPr="004109C9">
        <w:rPr>
          <w:rFonts w:cs="Arial"/>
          <w:sz w:val="24"/>
          <w:szCs w:val="24"/>
        </w:rPr>
        <w:t xml:space="preserve">), далее – в домах с </w:t>
      </w:r>
      <w:r w:rsidR="00E70010" w:rsidRPr="004109C9">
        <w:rPr>
          <w:rFonts w:cs="Arial"/>
          <w:sz w:val="24"/>
          <w:szCs w:val="24"/>
        </w:rPr>
        <w:t>монолитно-каркасным</w:t>
      </w:r>
      <w:r w:rsidR="008731F6" w:rsidRPr="004109C9">
        <w:rPr>
          <w:rFonts w:cs="Arial"/>
          <w:sz w:val="24"/>
          <w:szCs w:val="24"/>
        </w:rPr>
        <w:t xml:space="preserve"> типом</w:t>
      </w:r>
      <w:proofErr w:type="gramEnd"/>
      <w:r w:rsidR="00C37B1D" w:rsidRPr="004109C9">
        <w:rPr>
          <w:rFonts w:cs="Arial"/>
          <w:sz w:val="24"/>
          <w:szCs w:val="24"/>
        </w:rPr>
        <w:t xml:space="preserve"> домостроения – </w:t>
      </w:r>
      <w:r w:rsidR="006D25B2">
        <w:rPr>
          <w:rFonts w:cs="Arial"/>
          <w:sz w:val="24"/>
          <w:szCs w:val="24"/>
        </w:rPr>
        <w:t>45762</w:t>
      </w:r>
      <w:r w:rsidR="0011054C" w:rsidRPr="004109C9">
        <w:rPr>
          <w:rFonts w:cs="Arial"/>
          <w:sz w:val="24"/>
          <w:szCs w:val="24"/>
        </w:rPr>
        <w:t xml:space="preserve"> руб./кв</w:t>
      </w:r>
      <w:proofErr w:type="gramStart"/>
      <w:r w:rsidR="0011054C" w:rsidRPr="004109C9">
        <w:rPr>
          <w:rFonts w:cs="Arial"/>
          <w:sz w:val="24"/>
          <w:szCs w:val="24"/>
        </w:rPr>
        <w:t>.м</w:t>
      </w:r>
      <w:proofErr w:type="gramEnd"/>
      <w:r w:rsidR="006D25B2">
        <w:rPr>
          <w:rFonts w:cs="Arial"/>
          <w:sz w:val="24"/>
          <w:szCs w:val="24"/>
        </w:rPr>
        <w:t xml:space="preserve"> (темп прироста 1,06% ↑)</w:t>
      </w:r>
      <w:r w:rsidR="0011054C" w:rsidRPr="004109C9">
        <w:rPr>
          <w:rFonts w:cs="Arial"/>
          <w:sz w:val="24"/>
          <w:szCs w:val="24"/>
        </w:rPr>
        <w:t>.</w:t>
      </w:r>
    </w:p>
    <w:p w:rsidR="00E70010" w:rsidRDefault="00FA0963" w:rsidP="00FA0963">
      <w:pPr>
        <w:spacing w:line="240" w:lineRule="auto"/>
        <w:ind w:firstLine="709"/>
        <w:jc w:val="center"/>
        <w:rPr>
          <w:rFonts w:ascii="Arial" w:hAnsi="Arial" w:cs="Arial"/>
        </w:rPr>
      </w:pPr>
      <w:r w:rsidRPr="00FA0963">
        <w:rPr>
          <w:rFonts w:ascii="Arial" w:hAnsi="Arial" w:cs="Arial"/>
        </w:rPr>
        <w:drawing>
          <wp:inline distT="0" distB="0" distL="0" distR="0">
            <wp:extent cx="4572000" cy="2743200"/>
            <wp:effectExtent l="0" t="0" r="0" b="0"/>
            <wp:docPr id="1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643F2" w:rsidRDefault="004643F2" w:rsidP="004643F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04B98">
        <w:rPr>
          <w:rFonts w:ascii="Arial" w:hAnsi="Arial" w:cs="Arial"/>
          <w:i/>
          <w:sz w:val="16"/>
          <w:szCs w:val="16"/>
        </w:rPr>
        <w:t>Источник:</w:t>
      </w:r>
      <w:r>
        <w:rPr>
          <w:rFonts w:ascii="Arial" w:hAnsi="Arial" w:cs="Arial"/>
          <w:i/>
          <w:sz w:val="16"/>
          <w:szCs w:val="16"/>
        </w:rPr>
        <w:t xml:space="preserve"> база компании </w:t>
      </w:r>
      <w:r w:rsidRPr="00B04B98">
        <w:rPr>
          <w:rFonts w:ascii="Arial" w:hAnsi="Arial" w:cs="Arial"/>
          <w:i/>
          <w:sz w:val="16"/>
          <w:szCs w:val="16"/>
        </w:rPr>
        <w:t>«Этажи»</w:t>
      </w:r>
      <w:r w:rsidR="004109C9">
        <w:rPr>
          <w:rFonts w:ascii="Arial" w:hAnsi="Arial" w:cs="Arial"/>
          <w:i/>
          <w:sz w:val="16"/>
          <w:szCs w:val="16"/>
        </w:rPr>
        <w:t>, 2015</w:t>
      </w:r>
      <w:r>
        <w:rPr>
          <w:rFonts w:ascii="Arial" w:hAnsi="Arial" w:cs="Arial"/>
          <w:i/>
          <w:sz w:val="16"/>
          <w:szCs w:val="16"/>
        </w:rPr>
        <w:t>г.</w:t>
      </w:r>
    </w:p>
    <w:p w:rsidR="00477104" w:rsidRDefault="00477104" w:rsidP="00932572">
      <w:pPr>
        <w:jc w:val="center"/>
        <w:rPr>
          <w:rFonts w:ascii="Arial" w:hAnsi="Arial" w:cs="Arial"/>
          <w:sz w:val="20"/>
          <w:szCs w:val="20"/>
        </w:rPr>
      </w:pPr>
    </w:p>
    <w:p w:rsidR="00E70010" w:rsidRDefault="00E70010" w:rsidP="00CA7520">
      <w:pPr>
        <w:jc w:val="center"/>
        <w:rPr>
          <w:rFonts w:ascii="Arial" w:hAnsi="Arial" w:cs="Arial"/>
          <w:b/>
        </w:rPr>
      </w:pPr>
    </w:p>
    <w:p w:rsidR="00E70010" w:rsidRDefault="00E70010" w:rsidP="00CA7520">
      <w:pPr>
        <w:jc w:val="center"/>
        <w:rPr>
          <w:rFonts w:ascii="Arial" w:hAnsi="Arial" w:cs="Arial"/>
          <w:b/>
        </w:rPr>
      </w:pPr>
    </w:p>
    <w:p w:rsidR="00660035" w:rsidRPr="004109C9" w:rsidRDefault="00CA7520" w:rsidP="00CA7520">
      <w:pPr>
        <w:jc w:val="center"/>
        <w:rPr>
          <w:rFonts w:cs="Arial"/>
          <w:b/>
          <w:sz w:val="24"/>
          <w:szCs w:val="24"/>
        </w:rPr>
      </w:pPr>
      <w:r w:rsidRPr="004109C9">
        <w:rPr>
          <w:rFonts w:cs="Arial"/>
          <w:b/>
          <w:sz w:val="24"/>
          <w:szCs w:val="24"/>
        </w:rPr>
        <w:lastRenderedPageBreak/>
        <w:t>АНАЛИЗ ПРОДАЖ</w:t>
      </w:r>
      <w:r w:rsidR="001C32F9" w:rsidRPr="004109C9">
        <w:rPr>
          <w:rFonts w:cs="Arial"/>
          <w:b/>
          <w:sz w:val="24"/>
          <w:szCs w:val="24"/>
        </w:rPr>
        <w:t xml:space="preserve"> НА ВТОРИЧНОМ РЫНКЕ Г.ТОБОЛЬСК</w:t>
      </w:r>
      <w:r w:rsidR="003513D6" w:rsidRPr="004109C9">
        <w:rPr>
          <w:rFonts w:cs="Arial"/>
          <w:b/>
          <w:sz w:val="24"/>
          <w:szCs w:val="24"/>
        </w:rPr>
        <w:t xml:space="preserve"> ЗА </w:t>
      </w:r>
      <w:r w:rsidR="003636CD" w:rsidRPr="004109C9">
        <w:rPr>
          <w:rFonts w:cs="Arial"/>
          <w:b/>
          <w:sz w:val="24"/>
          <w:szCs w:val="24"/>
        </w:rPr>
        <w:t>ЯНВАРЬ 2015</w:t>
      </w:r>
      <w:r w:rsidRPr="004109C9">
        <w:rPr>
          <w:rFonts w:cs="Arial"/>
          <w:b/>
          <w:sz w:val="24"/>
          <w:szCs w:val="24"/>
        </w:rPr>
        <w:t>Г.</w:t>
      </w:r>
    </w:p>
    <w:p w:rsidR="00334112" w:rsidRDefault="00334112" w:rsidP="004109C9">
      <w:pPr>
        <w:spacing w:line="240" w:lineRule="auto"/>
        <w:ind w:firstLine="567"/>
        <w:jc w:val="both"/>
        <w:rPr>
          <w:rFonts w:cs="Arial"/>
          <w:sz w:val="24"/>
          <w:szCs w:val="24"/>
        </w:rPr>
      </w:pPr>
      <w:r w:rsidRPr="004109C9">
        <w:rPr>
          <w:rFonts w:cs="Arial"/>
          <w:sz w:val="24"/>
          <w:szCs w:val="24"/>
        </w:rPr>
        <w:t>Удельная цена продажи вторичного</w:t>
      </w:r>
      <w:r w:rsidR="005830C0" w:rsidRPr="004109C9">
        <w:rPr>
          <w:rFonts w:cs="Arial"/>
          <w:sz w:val="24"/>
          <w:szCs w:val="24"/>
        </w:rPr>
        <w:t xml:space="preserve"> жилья в </w:t>
      </w:r>
      <w:r w:rsidR="004109C9" w:rsidRPr="004109C9">
        <w:rPr>
          <w:rFonts w:cs="Arial"/>
          <w:sz w:val="24"/>
          <w:szCs w:val="24"/>
        </w:rPr>
        <w:t>январе 2015</w:t>
      </w:r>
      <w:r w:rsidRPr="004109C9">
        <w:rPr>
          <w:rFonts w:cs="Arial"/>
          <w:sz w:val="24"/>
          <w:szCs w:val="24"/>
        </w:rPr>
        <w:t xml:space="preserve">г. </w:t>
      </w:r>
      <w:r w:rsidR="003F39F1">
        <w:rPr>
          <w:rFonts w:cs="Arial"/>
          <w:sz w:val="24"/>
          <w:szCs w:val="24"/>
        </w:rPr>
        <w:t xml:space="preserve">повысилась на 317 рублей и </w:t>
      </w:r>
      <w:r w:rsidRPr="004109C9">
        <w:rPr>
          <w:rFonts w:cs="Arial"/>
          <w:sz w:val="24"/>
          <w:szCs w:val="24"/>
        </w:rPr>
        <w:t>составила</w:t>
      </w:r>
      <w:r w:rsidR="003F39F1">
        <w:rPr>
          <w:rFonts w:cs="Arial"/>
          <w:sz w:val="24"/>
          <w:szCs w:val="24"/>
        </w:rPr>
        <w:t xml:space="preserve"> 45550</w:t>
      </w:r>
      <w:r w:rsidR="0039480D" w:rsidRPr="004109C9">
        <w:rPr>
          <w:rFonts w:cs="Arial"/>
          <w:sz w:val="24"/>
          <w:szCs w:val="24"/>
        </w:rPr>
        <w:t xml:space="preserve"> </w:t>
      </w:r>
      <w:r w:rsidR="005850FF" w:rsidRPr="004109C9">
        <w:rPr>
          <w:rFonts w:cs="Arial"/>
          <w:sz w:val="24"/>
          <w:szCs w:val="24"/>
        </w:rPr>
        <w:t xml:space="preserve">рублей </w:t>
      </w:r>
      <w:r w:rsidRPr="004109C9">
        <w:rPr>
          <w:rFonts w:cs="Arial"/>
          <w:sz w:val="24"/>
          <w:szCs w:val="24"/>
        </w:rPr>
        <w:t>за кв.</w:t>
      </w:r>
      <w:r w:rsidR="005830C0" w:rsidRPr="004109C9">
        <w:rPr>
          <w:rFonts w:cs="Arial"/>
          <w:sz w:val="24"/>
          <w:szCs w:val="24"/>
        </w:rPr>
        <w:t xml:space="preserve">м., темп прироста составил </w:t>
      </w:r>
      <w:r w:rsidR="003F39F1">
        <w:rPr>
          <w:rFonts w:cs="Arial"/>
          <w:sz w:val="24"/>
          <w:szCs w:val="24"/>
        </w:rPr>
        <w:t>0,70</w:t>
      </w:r>
      <w:r w:rsidRPr="004109C9">
        <w:rPr>
          <w:rFonts w:cs="Arial"/>
          <w:sz w:val="24"/>
          <w:szCs w:val="24"/>
        </w:rPr>
        <w:t xml:space="preserve">% </w:t>
      </w:r>
      <w:r w:rsidR="003F39F1">
        <w:rPr>
          <w:rFonts w:cs="Calibri"/>
          <w:sz w:val="24"/>
          <w:szCs w:val="24"/>
        </w:rPr>
        <w:t>(</w:t>
      </w:r>
      <w:proofErr w:type="spellStart"/>
      <w:r w:rsidR="003F39F1">
        <w:rPr>
          <w:rFonts w:cs="Calibri"/>
          <w:sz w:val="24"/>
          <w:szCs w:val="24"/>
        </w:rPr>
        <w:t>↓</w:t>
      </w:r>
      <w:proofErr w:type="spellEnd"/>
      <w:r w:rsidRPr="004109C9">
        <w:rPr>
          <w:rFonts w:cs="Calibri"/>
          <w:sz w:val="24"/>
          <w:szCs w:val="24"/>
        </w:rPr>
        <w:t xml:space="preserve">) </w:t>
      </w:r>
      <w:r w:rsidR="009F7F6C" w:rsidRPr="004109C9">
        <w:rPr>
          <w:rFonts w:cs="Arial"/>
          <w:sz w:val="24"/>
          <w:szCs w:val="24"/>
        </w:rPr>
        <w:t xml:space="preserve">по сравнению с </w:t>
      </w:r>
      <w:r w:rsidR="003F39F1">
        <w:rPr>
          <w:rFonts w:cs="Arial"/>
          <w:sz w:val="24"/>
          <w:szCs w:val="24"/>
        </w:rPr>
        <w:t>декабрем</w:t>
      </w:r>
      <w:r w:rsidR="005009DA" w:rsidRPr="004109C9">
        <w:rPr>
          <w:rFonts w:cs="Arial"/>
          <w:sz w:val="24"/>
          <w:szCs w:val="24"/>
        </w:rPr>
        <w:t xml:space="preserve"> 2014</w:t>
      </w:r>
      <w:r w:rsidRPr="004109C9">
        <w:rPr>
          <w:rFonts w:cs="Arial"/>
          <w:sz w:val="24"/>
          <w:szCs w:val="24"/>
        </w:rPr>
        <w:t>г.  Темп прироста по сравнен</w:t>
      </w:r>
      <w:r w:rsidR="005830C0" w:rsidRPr="004109C9">
        <w:rPr>
          <w:rFonts w:cs="Arial"/>
          <w:sz w:val="24"/>
          <w:szCs w:val="24"/>
        </w:rPr>
        <w:t xml:space="preserve">ию </w:t>
      </w:r>
      <w:r w:rsidR="005009DA" w:rsidRPr="004109C9">
        <w:rPr>
          <w:rFonts w:cs="Arial"/>
          <w:sz w:val="24"/>
          <w:szCs w:val="24"/>
        </w:rPr>
        <w:t>с февралем 2014г.</w:t>
      </w:r>
      <w:r w:rsidR="005830C0" w:rsidRPr="004109C9">
        <w:rPr>
          <w:rFonts w:cs="Arial"/>
          <w:sz w:val="24"/>
          <w:szCs w:val="24"/>
        </w:rPr>
        <w:t xml:space="preserve"> составил </w:t>
      </w:r>
      <w:r w:rsidR="003F39F1">
        <w:rPr>
          <w:rFonts w:cs="Arial"/>
          <w:sz w:val="24"/>
          <w:szCs w:val="24"/>
        </w:rPr>
        <w:t xml:space="preserve"> 9,65</w:t>
      </w:r>
      <w:r w:rsidRPr="004109C9">
        <w:rPr>
          <w:rFonts w:cs="Arial"/>
          <w:sz w:val="24"/>
          <w:szCs w:val="24"/>
        </w:rPr>
        <w:t>% (</w:t>
      </w:r>
      <w:proofErr w:type="spellStart"/>
      <w:r w:rsidRPr="004109C9">
        <w:rPr>
          <w:rFonts w:cs="Arial"/>
          <w:sz w:val="24"/>
          <w:szCs w:val="24"/>
        </w:rPr>
        <w:t>↓</w:t>
      </w:r>
      <w:proofErr w:type="spellEnd"/>
      <w:r w:rsidRPr="004109C9">
        <w:rPr>
          <w:rFonts w:cs="Arial"/>
          <w:sz w:val="24"/>
          <w:szCs w:val="24"/>
        </w:rPr>
        <w:t>).</w:t>
      </w:r>
    </w:p>
    <w:p w:rsidR="003F39F1" w:rsidRPr="004109C9" w:rsidRDefault="003F39F1" w:rsidP="004109C9">
      <w:pPr>
        <w:spacing w:line="240" w:lineRule="auto"/>
        <w:ind w:firstLine="567"/>
        <w:jc w:val="both"/>
        <w:rPr>
          <w:rFonts w:cs="Arial"/>
          <w:sz w:val="24"/>
          <w:szCs w:val="24"/>
        </w:rPr>
      </w:pPr>
      <w:r w:rsidRPr="003F39F1">
        <w:rPr>
          <w:rFonts w:cs="Arial"/>
          <w:sz w:val="24"/>
          <w:szCs w:val="24"/>
        </w:rPr>
        <w:drawing>
          <wp:inline distT="0" distB="0" distL="0" distR="0">
            <wp:extent cx="5800725" cy="2733676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34112" w:rsidRPr="0017469E" w:rsidRDefault="00334112" w:rsidP="0033411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17469E">
        <w:rPr>
          <w:rFonts w:ascii="Arial" w:hAnsi="Arial" w:cs="Arial"/>
          <w:i/>
          <w:sz w:val="16"/>
          <w:szCs w:val="16"/>
        </w:rPr>
        <w:t>Источн</w:t>
      </w:r>
      <w:r w:rsidR="004109C9">
        <w:rPr>
          <w:rFonts w:ascii="Arial" w:hAnsi="Arial" w:cs="Arial"/>
          <w:i/>
          <w:sz w:val="16"/>
          <w:szCs w:val="16"/>
        </w:rPr>
        <w:t>ик: база компании «Этажи», 2015</w:t>
      </w:r>
      <w:r w:rsidRPr="0017469E">
        <w:rPr>
          <w:rFonts w:ascii="Arial" w:hAnsi="Arial" w:cs="Arial"/>
          <w:i/>
          <w:sz w:val="16"/>
          <w:szCs w:val="16"/>
        </w:rPr>
        <w:t>г.</w:t>
      </w:r>
    </w:p>
    <w:p w:rsidR="00CA7520" w:rsidRPr="00091401" w:rsidRDefault="00CA7520" w:rsidP="004109C9">
      <w:pPr>
        <w:spacing w:line="240" w:lineRule="auto"/>
        <w:ind w:firstLine="567"/>
        <w:jc w:val="both"/>
        <w:rPr>
          <w:rFonts w:cs="Arial"/>
          <w:sz w:val="24"/>
          <w:szCs w:val="24"/>
        </w:rPr>
      </w:pPr>
      <w:r w:rsidRPr="00091401">
        <w:rPr>
          <w:rFonts w:cs="Arial"/>
          <w:sz w:val="24"/>
          <w:szCs w:val="24"/>
        </w:rPr>
        <w:t>Наибольши</w:t>
      </w:r>
      <w:r w:rsidR="001E3563" w:rsidRPr="00091401">
        <w:rPr>
          <w:rFonts w:cs="Arial"/>
          <w:sz w:val="24"/>
          <w:szCs w:val="24"/>
        </w:rPr>
        <w:t xml:space="preserve">й рост продаж </w:t>
      </w:r>
      <w:r w:rsidR="0039480D" w:rsidRPr="00091401">
        <w:rPr>
          <w:rFonts w:cs="Arial"/>
          <w:sz w:val="24"/>
          <w:szCs w:val="24"/>
        </w:rPr>
        <w:t xml:space="preserve">наблюдался среди </w:t>
      </w:r>
      <w:r w:rsidR="00091401" w:rsidRPr="00091401">
        <w:rPr>
          <w:rFonts w:cs="Arial"/>
          <w:sz w:val="24"/>
          <w:szCs w:val="24"/>
        </w:rPr>
        <w:t>1</w:t>
      </w:r>
      <w:r w:rsidRPr="00091401">
        <w:rPr>
          <w:rFonts w:cs="Arial"/>
          <w:sz w:val="24"/>
          <w:szCs w:val="24"/>
        </w:rPr>
        <w:t>-комнатных ква</w:t>
      </w:r>
      <w:r w:rsidR="001E3563" w:rsidRPr="00091401">
        <w:rPr>
          <w:rFonts w:cs="Arial"/>
          <w:sz w:val="24"/>
          <w:szCs w:val="24"/>
        </w:rPr>
        <w:t xml:space="preserve">ртир, их доля </w:t>
      </w:r>
      <w:r w:rsidR="0039480D" w:rsidRPr="00091401">
        <w:rPr>
          <w:rFonts w:cs="Arial"/>
          <w:sz w:val="24"/>
          <w:szCs w:val="24"/>
        </w:rPr>
        <w:t xml:space="preserve">достигла </w:t>
      </w:r>
      <w:r w:rsidR="00091401" w:rsidRPr="00091401">
        <w:rPr>
          <w:rFonts w:cs="Arial"/>
          <w:sz w:val="24"/>
          <w:szCs w:val="24"/>
        </w:rPr>
        <w:t>67</w:t>
      </w:r>
      <w:r w:rsidR="001E3563" w:rsidRPr="00091401">
        <w:rPr>
          <w:rFonts w:cs="Arial"/>
          <w:sz w:val="24"/>
          <w:szCs w:val="24"/>
        </w:rPr>
        <w:t xml:space="preserve">%. Доля </w:t>
      </w:r>
      <w:r w:rsidR="0017469E" w:rsidRPr="00091401">
        <w:rPr>
          <w:rFonts w:cs="Arial"/>
          <w:sz w:val="24"/>
          <w:szCs w:val="24"/>
        </w:rPr>
        <w:t>3</w:t>
      </w:r>
      <w:r w:rsidR="005009DA" w:rsidRPr="00091401">
        <w:rPr>
          <w:rFonts w:cs="Arial"/>
          <w:sz w:val="24"/>
          <w:szCs w:val="24"/>
        </w:rPr>
        <w:t>-комнатных</w:t>
      </w:r>
      <w:r w:rsidR="00091401" w:rsidRPr="00091401">
        <w:rPr>
          <w:rFonts w:cs="Arial"/>
          <w:sz w:val="24"/>
          <w:szCs w:val="24"/>
        </w:rPr>
        <w:t xml:space="preserve"> </w:t>
      </w:r>
      <w:r w:rsidR="00E70010" w:rsidRPr="00091401">
        <w:rPr>
          <w:rFonts w:cs="Arial"/>
          <w:sz w:val="24"/>
          <w:szCs w:val="24"/>
        </w:rPr>
        <w:t>уменьшилась</w:t>
      </w:r>
      <w:r w:rsidR="0039480D" w:rsidRPr="00091401">
        <w:rPr>
          <w:rFonts w:cs="Arial"/>
          <w:sz w:val="24"/>
          <w:szCs w:val="24"/>
        </w:rPr>
        <w:t xml:space="preserve"> и составила </w:t>
      </w:r>
      <w:r w:rsidR="00091401" w:rsidRPr="00091401">
        <w:rPr>
          <w:rFonts w:cs="Arial"/>
          <w:sz w:val="24"/>
          <w:szCs w:val="24"/>
        </w:rPr>
        <w:t>6</w:t>
      </w:r>
      <w:r w:rsidR="00435357" w:rsidRPr="00091401">
        <w:rPr>
          <w:rFonts w:cs="Arial"/>
          <w:sz w:val="24"/>
          <w:szCs w:val="24"/>
        </w:rPr>
        <w:t>%</w:t>
      </w:r>
      <w:r w:rsidR="00091401" w:rsidRPr="00091401">
        <w:rPr>
          <w:rFonts w:cs="Arial"/>
          <w:sz w:val="24"/>
          <w:szCs w:val="24"/>
        </w:rPr>
        <w:t>.</w:t>
      </w:r>
      <w:r w:rsidR="0017469E" w:rsidRPr="00091401">
        <w:rPr>
          <w:rFonts w:cs="Arial"/>
          <w:sz w:val="24"/>
          <w:szCs w:val="24"/>
        </w:rPr>
        <w:t xml:space="preserve"> Д</w:t>
      </w:r>
      <w:r w:rsidR="00435357" w:rsidRPr="00091401">
        <w:rPr>
          <w:rFonts w:cs="Arial"/>
          <w:sz w:val="24"/>
          <w:szCs w:val="24"/>
        </w:rPr>
        <w:t xml:space="preserve">оля </w:t>
      </w:r>
      <w:r w:rsidR="00091401" w:rsidRPr="00091401">
        <w:rPr>
          <w:rFonts w:cs="Arial"/>
          <w:sz w:val="24"/>
          <w:szCs w:val="24"/>
        </w:rPr>
        <w:t>2</w:t>
      </w:r>
      <w:r w:rsidR="00435357" w:rsidRPr="00091401">
        <w:rPr>
          <w:rFonts w:cs="Arial"/>
          <w:sz w:val="24"/>
          <w:szCs w:val="24"/>
        </w:rPr>
        <w:t>-комнатных</w:t>
      </w:r>
      <w:r w:rsidR="0039480D" w:rsidRPr="00091401">
        <w:rPr>
          <w:rFonts w:cs="Arial"/>
          <w:sz w:val="24"/>
          <w:szCs w:val="24"/>
        </w:rPr>
        <w:t xml:space="preserve"> квартир </w:t>
      </w:r>
      <w:r w:rsidR="00E70010" w:rsidRPr="00091401">
        <w:rPr>
          <w:rFonts w:cs="Arial"/>
          <w:sz w:val="24"/>
          <w:szCs w:val="24"/>
        </w:rPr>
        <w:t>наоборот у</w:t>
      </w:r>
      <w:r w:rsidR="00091401" w:rsidRPr="00091401">
        <w:rPr>
          <w:rFonts w:cs="Arial"/>
          <w:sz w:val="24"/>
          <w:szCs w:val="24"/>
        </w:rPr>
        <w:t>меньшилась</w:t>
      </w:r>
      <w:r w:rsidR="00E70010" w:rsidRPr="00091401">
        <w:rPr>
          <w:rFonts w:cs="Arial"/>
          <w:sz w:val="24"/>
          <w:szCs w:val="24"/>
        </w:rPr>
        <w:t xml:space="preserve"> и составила </w:t>
      </w:r>
      <w:r w:rsidR="00091401" w:rsidRPr="00091401">
        <w:rPr>
          <w:rFonts w:cs="Arial"/>
          <w:sz w:val="24"/>
          <w:szCs w:val="24"/>
        </w:rPr>
        <w:t>27</w:t>
      </w:r>
      <w:r w:rsidR="0017469E" w:rsidRPr="00091401">
        <w:rPr>
          <w:rFonts w:cs="Arial"/>
          <w:sz w:val="24"/>
          <w:szCs w:val="24"/>
        </w:rPr>
        <w:t>%</w:t>
      </w:r>
      <w:r w:rsidR="00091401" w:rsidRPr="00091401">
        <w:rPr>
          <w:rFonts w:cs="Arial"/>
          <w:sz w:val="24"/>
          <w:szCs w:val="24"/>
        </w:rPr>
        <w:t>.</w:t>
      </w:r>
      <w:r w:rsidR="00136A95" w:rsidRPr="00091401">
        <w:rPr>
          <w:rFonts w:cs="Arial"/>
          <w:sz w:val="24"/>
          <w:szCs w:val="24"/>
        </w:rPr>
        <w:t xml:space="preserve"> </w:t>
      </w:r>
    </w:p>
    <w:p w:rsidR="00136A95" w:rsidRPr="003F39F1" w:rsidRDefault="00091401" w:rsidP="00136A95">
      <w:pPr>
        <w:ind w:firstLine="709"/>
        <w:jc w:val="center"/>
        <w:rPr>
          <w:rFonts w:ascii="Arial" w:hAnsi="Arial" w:cs="Arial"/>
        </w:rPr>
      </w:pPr>
      <w:r w:rsidRPr="00091401">
        <w:rPr>
          <w:rFonts w:ascii="Arial" w:hAnsi="Arial" w:cs="Arial"/>
        </w:rPr>
        <w:drawing>
          <wp:inline distT="0" distB="0" distL="0" distR="0">
            <wp:extent cx="3819525" cy="2743200"/>
            <wp:effectExtent l="0" t="0" r="0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34112" w:rsidRPr="003F39F1" w:rsidRDefault="00334112" w:rsidP="0033411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3F39F1">
        <w:rPr>
          <w:rFonts w:ascii="Arial" w:hAnsi="Arial" w:cs="Arial"/>
          <w:i/>
          <w:sz w:val="16"/>
          <w:szCs w:val="16"/>
        </w:rPr>
        <w:t>Источник: база компании «Этажи»</w:t>
      </w:r>
      <w:r w:rsidR="004109C9" w:rsidRPr="003F39F1">
        <w:rPr>
          <w:rFonts w:ascii="Arial" w:hAnsi="Arial" w:cs="Arial"/>
          <w:i/>
          <w:sz w:val="16"/>
          <w:szCs w:val="16"/>
        </w:rPr>
        <w:t>, 2015</w:t>
      </w:r>
      <w:r w:rsidRPr="003F39F1">
        <w:rPr>
          <w:rFonts w:ascii="Arial" w:hAnsi="Arial" w:cs="Arial"/>
          <w:i/>
          <w:sz w:val="16"/>
          <w:szCs w:val="16"/>
        </w:rPr>
        <w:t>г.</w:t>
      </w:r>
    </w:p>
    <w:p w:rsidR="00E6661C" w:rsidRPr="006D095F" w:rsidRDefault="00E6661C" w:rsidP="00091401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6D095F">
        <w:rPr>
          <w:rFonts w:cs="Arial"/>
          <w:sz w:val="24"/>
          <w:szCs w:val="24"/>
        </w:rPr>
        <w:t>Средняя площадь проданных квартир на вторичном рынке составила</w:t>
      </w:r>
      <w:r w:rsidR="006D095F" w:rsidRPr="006D095F">
        <w:rPr>
          <w:rFonts w:cs="Arial"/>
          <w:sz w:val="24"/>
          <w:szCs w:val="24"/>
        </w:rPr>
        <w:t xml:space="preserve"> 43,53</w:t>
      </w:r>
      <w:r w:rsidR="00E70010" w:rsidRPr="006D095F">
        <w:rPr>
          <w:rFonts w:cs="Arial"/>
          <w:sz w:val="24"/>
          <w:szCs w:val="24"/>
        </w:rPr>
        <w:t xml:space="preserve"> </w:t>
      </w:r>
      <w:r w:rsidRPr="006D095F">
        <w:rPr>
          <w:rFonts w:cs="Arial"/>
          <w:sz w:val="24"/>
          <w:szCs w:val="24"/>
        </w:rPr>
        <w:t>кв</w:t>
      </w:r>
      <w:r w:rsidR="0017469E" w:rsidRPr="006D095F">
        <w:rPr>
          <w:rFonts w:cs="Arial"/>
          <w:sz w:val="24"/>
          <w:szCs w:val="24"/>
        </w:rPr>
        <w:t>.</w:t>
      </w:r>
      <w:r w:rsidR="006D095F" w:rsidRPr="006D095F">
        <w:rPr>
          <w:rFonts w:cs="Arial"/>
          <w:sz w:val="24"/>
          <w:szCs w:val="24"/>
        </w:rPr>
        <w:t>м., темп прироста составил 19,16</w:t>
      </w:r>
      <w:r w:rsidRPr="006D095F">
        <w:rPr>
          <w:rFonts w:cs="Arial"/>
          <w:sz w:val="24"/>
          <w:szCs w:val="24"/>
        </w:rPr>
        <w:t>% (</w:t>
      </w:r>
      <w:proofErr w:type="spellStart"/>
      <w:r w:rsidR="006D095F" w:rsidRPr="006D095F">
        <w:rPr>
          <w:rFonts w:cs="Calibri"/>
          <w:sz w:val="24"/>
          <w:szCs w:val="24"/>
        </w:rPr>
        <w:t>↓</w:t>
      </w:r>
      <w:proofErr w:type="spellEnd"/>
      <w:r w:rsidRPr="006D095F">
        <w:rPr>
          <w:rFonts w:cs="Calibri"/>
          <w:sz w:val="24"/>
          <w:szCs w:val="24"/>
        </w:rPr>
        <w:t>)</w:t>
      </w:r>
      <w:r w:rsidRPr="006D095F">
        <w:rPr>
          <w:rFonts w:cs="Arial"/>
          <w:sz w:val="24"/>
          <w:szCs w:val="24"/>
        </w:rPr>
        <w:t xml:space="preserve"> по сравнению с предыдущим месяцем.</w:t>
      </w:r>
    </w:p>
    <w:p w:rsidR="00091401" w:rsidRDefault="00E6661C" w:rsidP="00091401">
      <w:pPr>
        <w:spacing w:line="240" w:lineRule="auto"/>
        <w:ind w:firstLine="567"/>
        <w:jc w:val="both"/>
        <w:rPr>
          <w:rFonts w:cs="Arial"/>
          <w:sz w:val="24"/>
          <w:szCs w:val="24"/>
        </w:rPr>
      </w:pPr>
      <w:r w:rsidRPr="00E74F98">
        <w:rPr>
          <w:rFonts w:cs="Arial"/>
          <w:sz w:val="24"/>
          <w:szCs w:val="24"/>
        </w:rPr>
        <w:t xml:space="preserve">Наибольшим спросом в </w:t>
      </w:r>
      <w:r w:rsidR="004109C9" w:rsidRPr="00E74F98">
        <w:rPr>
          <w:rFonts w:cs="Arial"/>
          <w:sz w:val="24"/>
          <w:szCs w:val="24"/>
        </w:rPr>
        <w:t>январе 2015</w:t>
      </w:r>
      <w:r w:rsidRPr="00E74F98">
        <w:rPr>
          <w:rFonts w:cs="Arial"/>
          <w:sz w:val="24"/>
          <w:szCs w:val="24"/>
        </w:rPr>
        <w:t xml:space="preserve">г. пользовались </w:t>
      </w:r>
      <w:r w:rsidR="00E74F98" w:rsidRPr="00E74F98">
        <w:rPr>
          <w:rFonts w:cs="Arial"/>
          <w:sz w:val="24"/>
          <w:szCs w:val="24"/>
        </w:rPr>
        <w:t xml:space="preserve">1-комнатные </w:t>
      </w:r>
      <w:r w:rsidRPr="00E74F98">
        <w:rPr>
          <w:rFonts w:cs="Arial"/>
          <w:sz w:val="24"/>
          <w:szCs w:val="24"/>
        </w:rPr>
        <w:t>квартиры в райо</w:t>
      </w:r>
      <w:r w:rsidR="0039480D" w:rsidRPr="00E74F98">
        <w:rPr>
          <w:rFonts w:cs="Arial"/>
          <w:sz w:val="24"/>
          <w:szCs w:val="24"/>
        </w:rPr>
        <w:t xml:space="preserve">не Нагорный Тобольск, а именно </w:t>
      </w:r>
      <w:r w:rsidR="00E74F98" w:rsidRPr="00E74F98">
        <w:rPr>
          <w:rFonts w:cs="Arial"/>
          <w:sz w:val="24"/>
          <w:szCs w:val="24"/>
        </w:rPr>
        <w:t xml:space="preserve">7 </w:t>
      </w:r>
      <w:proofErr w:type="spellStart"/>
      <w:r w:rsidR="00E74F98" w:rsidRPr="00E74F98">
        <w:rPr>
          <w:rFonts w:cs="Arial"/>
          <w:sz w:val="24"/>
          <w:szCs w:val="24"/>
        </w:rPr>
        <w:t>мкр</w:t>
      </w:r>
      <w:proofErr w:type="spellEnd"/>
      <w:r w:rsidR="00E74F98" w:rsidRPr="00E74F98">
        <w:rPr>
          <w:rFonts w:cs="Arial"/>
          <w:sz w:val="24"/>
          <w:szCs w:val="24"/>
        </w:rPr>
        <w:t>. и</w:t>
      </w:r>
      <w:r w:rsidR="0039480D" w:rsidRPr="00E74F98">
        <w:rPr>
          <w:rFonts w:cs="Arial"/>
          <w:sz w:val="24"/>
          <w:szCs w:val="24"/>
        </w:rPr>
        <w:t xml:space="preserve">  </w:t>
      </w:r>
      <w:r w:rsidR="0017469E" w:rsidRPr="00E74F98">
        <w:rPr>
          <w:rFonts w:cs="Arial"/>
          <w:sz w:val="24"/>
          <w:szCs w:val="24"/>
        </w:rPr>
        <w:t>4</w:t>
      </w:r>
      <w:r w:rsidR="00E74F98" w:rsidRPr="00E74F98">
        <w:rPr>
          <w:rFonts w:cs="Arial"/>
          <w:sz w:val="24"/>
          <w:szCs w:val="24"/>
        </w:rPr>
        <w:t xml:space="preserve"> </w:t>
      </w:r>
      <w:proofErr w:type="spellStart"/>
      <w:r w:rsidR="00E74F98" w:rsidRPr="00E74F98">
        <w:rPr>
          <w:rFonts w:cs="Arial"/>
          <w:sz w:val="24"/>
          <w:szCs w:val="24"/>
        </w:rPr>
        <w:t>мкр</w:t>
      </w:r>
      <w:proofErr w:type="spellEnd"/>
      <w:r w:rsidRPr="00E74F98">
        <w:rPr>
          <w:rFonts w:cs="Arial"/>
          <w:sz w:val="24"/>
          <w:szCs w:val="24"/>
        </w:rPr>
        <w:t>.</w:t>
      </w:r>
    </w:p>
    <w:p w:rsidR="006D095F" w:rsidRDefault="006D095F" w:rsidP="00091401">
      <w:pPr>
        <w:jc w:val="both"/>
        <w:rPr>
          <w:rFonts w:ascii="Arial" w:hAnsi="Arial" w:cs="Arial"/>
        </w:rPr>
        <w:sectPr w:rsidR="006D095F" w:rsidSect="00091401">
          <w:pgSz w:w="11906" w:h="16838"/>
          <w:pgMar w:top="851" w:right="1134" w:bottom="1701" w:left="1134" w:header="708" w:footer="708" w:gutter="0"/>
          <w:cols w:space="315"/>
          <w:titlePg/>
          <w:docGrid w:linePitch="360"/>
        </w:sectPr>
      </w:pPr>
    </w:p>
    <w:p w:rsidR="00334112" w:rsidRPr="004109C9" w:rsidRDefault="00334112" w:rsidP="004109C9">
      <w:pPr>
        <w:spacing w:line="240" w:lineRule="auto"/>
        <w:jc w:val="both"/>
        <w:rPr>
          <w:rFonts w:cs="Arial"/>
          <w:sz w:val="24"/>
          <w:szCs w:val="24"/>
        </w:rPr>
      </w:pPr>
    </w:p>
    <w:p w:rsidR="00660035" w:rsidRPr="004109C9" w:rsidRDefault="00660035" w:rsidP="004109C9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4109C9">
        <w:rPr>
          <w:rFonts w:cs="Arial"/>
          <w:b/>
          <w:sz w:val="24"/>
          <w:szCs w:val="24"/>
        </w:rPr>
        <w:t xml:space="preserve">ПРИЛОЖЕНИЕ №1. ЧИСЛОВАЯ ДИСКРЕТНАЯ ПРОСТРАНСТВЕННО-ПАРАМЕТРИЧЕСКАЯ МОДЕЛЬ ВТОРИЧНОГО РЫНКА Г. ТОБОЛЬСК. </w:t>
      </w:r>
      <w:r w:rsidR="003636CD" w:rsidRPr="004109C9">
        <w:rPr>
          <w:rFonts w:cs="Arial"/>
          <w:b/>
          <w:sz w:val="24"/>
          <w:szCs w:val="24"/>
        </w:rPr>
        <w:t>ЯНВАРЬ 2015</w:t>
      </w:r>
      <w:r w:rsidR="007901C1" w:rsidRPr="004109C9">
        <w:rPr>
          <w:rFonts w:cs="Arial"/>
          <w:b/>
          <w:sz w:val="24"/>
          <w:szCs w:val="24"/>
        </w:rPr>
        <w:t>Г.</w:t>
      </w:r>
    </w:p>
    <w:p w:rsidR="00660035" w:rsidRPr="004109C9" w:rsidRDefault="00660035" w:rsidP="00391ECA">
      <w:pPr>
        <w:spacing w:after="0" w:line="360" w:lineRule="auto"/>
        <w:ind w:firstLine="567"/>
        <w:rPr>
          <w:rFonts w:cs="Arial"/>
          <w:sz w:val="24"/>
          <w:szCs w:val="24"/>
        </w:rPr>
      </w:pPr>
      <w:r w:rsidRPr="004109C9">
        <w:rPr>
          <w:rFonts w:cs="Arial"/>
          <w:sz w:val="24"/>
          <w:szCs w:val="24"/>
        </w:rPr>
        <w:t>Основные показатели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4786"/>
      </w:tblGrid>
      <w:tr w:rsidR="00660035" w:rsidRPr="004109C9" w:rsidTr="00870DA4">
        <w:tc>
          <w:tcPr>
            <w:tcW w:w="675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sz w:val="24"/>
                <w:szCs w:val="24"/>
              </w:rPr>
            </w:pPr>
            <w:r w:rsidRPr="004109C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786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4109C9">
              <w:rPr>
                <w:rFonts w:cs="Arial"/>
                <w:bCs/>
                <w:color w:val="000000"/>
                <w:sz w:val="24"/>
                <w:szCs w:val="24"/>
              </w:rPr>
              <w:t>Объем выборки, шт.</w:t>
            </w:r>
          </w:p>
        </w:tc>
      </w:tr>
      <w:tr w:rsidR="00660035" w:rsidRPr="004109C9" w:rsidTr="00870DA4">
        <w:tc>
          <w:tcPr>
            <w:tcW w:w="675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sz w:val="24"/>
                <w:szCs w:val="24"/>
              </w:rPr>
            </w:pPr>
            <w:r w:rsidRPr="004109C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786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109C9">
              <w:rPr>
                <w:rFonts w:cs="Arial"/>
                <w:color w:val="000000"/>
                <w:sz w:val="24"/>
                <w:szCs w:val="24"/>
              </w:rPr>
              <w:t>Удельная цена, руб./кв.м.</w:t>
            </w:r>
          </w:p>
        </w:tc>
      </w:tr>
      <w:tr w:rsidR="00660035" w:rsidRPr="004109C9" w:rsidTr="00870DA4">
        <w:tc>
          <w:tcPr>
            <w:tcW w:w="675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sz w:val="24"/>
                <w:szCs w:val="24"/>
              </w:rPr>
            </w:pPr>
            <w:r w:rsidRPr="004109C9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786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109C9">
              <w:rPr>
                <w:rFonts w:cs="Arial"/>
                <w:color w:val="000000"/>
                <w:sz w:val="24"/>
                <w:szCs w:val="24"/>
              </w:rPr>
              <w:t>СКО, руб./к.м.</w:t>
            </w:r>
          </w:p>
        </w:tc>
      </w:tr>
      <w:tr w:rsidR="00660035" w:rsidRPr="004109C9" w:rsidTr="00870DA4">
        <w:tc>
          <w:tcPr>
            <w:tcW w:w="675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sz w:val="24"/>
                <w:szCs w:val="24"/>
              </w:rPr>
            </w:pPr>
            <w:r w:rsidRPr="004109C9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786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109C9">
              <w:rPr>
                <w:rFonts w:cs="Arial"/>
                <w:color w:val="000000"/>
                <w:sz w:val="24"/>
                <w:szCs w:val="24"/>
              </w:rPr>
              <w:t>Погрешность, руб./к.м.</w:t>
            </w:r>
          </w:p>
        </w:tc>
      </w:tr>
      <w:tr w:rsidR="00660035" w:rsidRPr="004109C9" w:rsidTr="00870DA4">
        <w:tc>
          <w:tcPr>
            <w:tcW w:w="675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sz w:val="24"/>
                <w:szCs w:val="24"/>
              </w:rPr>
            </w:pPr>
            <w:r w:rsidRPr="004109C9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786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109C9">
              <w:rPr>
                <w:rFonts w:cs="Arial"/>
                <w:color w:val="000000"/>
                <w:sz w:val="24"/>
                <w:szCs w:val="24"/>
              </w:rPr>
              <w:t>Погрешность, %</w:t>
            </w:r>
          </w:p>
        </w:tc>
      </w:tr>
      <w:tr w:rsidR="00660035" w:rsidRPr="004109C9" w:rsidTr="00870DA4">
        <w:tc>
          <w:tcPr>
            <w:tcW w:w="675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sz w:val="24"/>
                <w:szCs w:val="24"/>
              </w:rPr>
            </w:pPr>
            <w:r w:rsidRPr="004109C9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4786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4109C9">
              <w:rPr>
                <w:rFonts w:cs="Arial"/>
                <w:color w:val="000000"/>
                <w:sz w:val="24"/>
                <w:szCs w:val="24"/>
              </w:rPr>
              <w:t>Min</w:t>
            </w:r>
            <w:proofErr w:type="spellEnd"/>
            <w:r w:rsidRPr="004109C9">
              <w:rPr>
                <w:rFonts w:cs="Arial"/>
                <w:color w:val="000000"/>
                <w:sz w:val="24"/>
                <w:szCs w:val="24"/>
              </w:rPr>
              <w:t>, руб./кв</w:t>
            </w:r>
            <w:proofErr w:type="gramStart"/>
            <w:r w:rsidRPr="004109C9">
              <w:rPr>
                <w:rFonts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660035" w:rsidRPr="004109C9" w:rsidTr="00870DA4">
        <w:tc>
          <w:tcPr>
            <w:tcW w:w="675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sz w:val="24"/>
                <w:szCs w:val="24"/>
              </w:rPr>
            </w:pPr>
            <w:r w:rsidRPr="004109C9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4786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4109C9">
              <w:rPr>
                <w:rFonts w:cs="Arial"/>
                <w:color w:val="000000"/>
                <w:sz w:val="24"/>
                <w:szCs w:val="24"/>
              </w:rPr>
              <w:t>Max</w:t>
            </w:r>
            <w:proofErr w:type="spellEnd"/>
            <w:r w:rsidRPr="004109C9">
              <w:rPr>
                <w:rFonts w:cs="Arial"/>
                <w:color w:val="000000"/>
                <w:sz w:val="24"/>
                <w:szCs w:val="24"/>
              </w:rPr>
              <w:t>, руб./кв</w:t>
            </w:r>
            <w:proofErr w:type="gramStart"/>
            <w:r w:rsidRPr="004109C9">
              <w:rPr>
                <w:rFonts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660035" w:rsidRPr="004109C9" w:rsidTr="00870DA4">
        <w:tc>
          <w:tcPr>
            <w:tcW w:w="675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sz w:val="24"/>
                <w:szCs w:val="24"/>
              </w:rPr>
            </w:pPr>
            <w:r w:rsidRPr="004109C9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4786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109C9">
              <w:rPr>
                <w:rFonts w:cs="Arial"/>
                <w:color w:val="000000"/>
                <w:sz w:val="24"/>
                <w:szCs w:val="24"/>
              </w:rPr>
              <w:t>Средняя площадь,  кв.м.</w:t>
            </w:r>
          </w:p>
        </w:tc>
      </w:tr>
      <w:tr w:rsidR="00660035" w:rsidRPr="004109C9" w:rsidTr="00870DA4">
        <w:tc>
          <w:tcPr>
            <w:tcW w:w="675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sz w:val="24"/>
                <w:szCs w:val="24"/>
              </w:rPr>
            </w:pPr>
            <w:r w:rsidRPr="004109C9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4786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109C9">
              <w:rPr>
                <w:rFonts w:cs="Arial"/>
                <w:color w:val="000000"/>
                <w:sz w:val="24"/>
                <w:szCs w:val="24"/>
              </w:rPr>
              <w:t>СКО, кв.м.</w:t>
            </w:r>
          </w:p>
        </w:tc>
      </w:tr>
      <w:tr w:rsidR="00660035" w:rsidRPr="004109C9" w:rsidTr="00870DA4">
        <w:tc>
          <w:tcPr>
            <w:tcW w:w="675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sz w:val="24"/>
                <w:szCs w:val="24"/>
              </w:rPr>
            </w:pPr>
            <w:r w:rsidRPr="004109C9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4786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109C9">
              <w:rPr>
                <w:rFonts w:cs="Arial"/>
                <w:color w:val="000000"/>
                <w:sz w:val="24"/>
                <w:szCs w:val="24"/>
              </w:rPr>
              <w:t>Погрешность, кв.м.</w:t>
            </w:r>
          </w:p>
        </w:tc>
      </w:tr>
      <w:tr w:rsidR="00660035" w:rsidRPr="004109C9" w:rsidTr="00870DA4">
        <w:tc>
          <w:tcPr>
            <w:tcW w:w="675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sz w:val="24"/>
                <w:szCs w:val="24"/>
              </w:rPr>
            </w:pPr>
            <w:r w:rsidRPr="004109C9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4786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109C9">
              <w:rPr>
                <w:rFonts w:cs="Arial"/>
                <w:color w:val="000000"/>
                <w:sz w:val="24"/>
                <w:szCs w:val="24"/>
              </w:rPr>
              <w:t>Погрешность, %</w:t>
            </w:r>
          </w:p>
        </w:tc>
      </w:tr>
      <w:tr w:rsidR="00660035" w:rsidRPr="004109C9" w:rsidTr="00870DA4">
        <w:tc>
          <w:tcPr>
            <w:tcW w:w="675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sz w:val="24"/>
                <w:szCs w:val="24"/>
              </w:rPr>
            </w:pPr>
            <w:r w:rsidRPr="004109C9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4786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4109C9">
              <w:rPr>
                <w:rFonts w:cs="Arial"/>
                <w:color w:val="000000"/>
                <w:sz w:val="24"/>
                <w:szCs w:val="24"/>
              </w:rPr>
              <w:t>Min</w:t>
            </w:r>
            <w:proofErr w:type="spellEnd"/>
            <w:r w:rsidRPr="004109C9">
              <w:rPr>
                <w:rFonts w:cs="Arial"/>
                <w:color w:val="000000"/>
                <w:sz w:val="24"/>
                <w:szCs w:val="24"/>
              </w:rPr>
              <w:t>, кв</w:t>
            </w:r>
            <w:proofErr w:type="gramStart"/>
            <w:r w:rsidRPr="004109C9">
              <w:rPr>
                <w:rFonts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660035" w:rsidRPr="004109C9" w:rsidTr="00870DA4">
        <w:tc>
          <w:tcPr>
            <w:tcW w:w="675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sz w:val="24"/>
                <w:szCs w:val="24"/>
              </w:rPr>
            </w:pPr>
            <w:r w:rsidRPr="004109C9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4786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4109C9">
              <w:rPr>
                <w:rFonts w:cs="Arial"/>
                <w:color w:val="000000"/>
                <w:sz w:val="24"/>
                <w:szCs w:val="24"/>
              </w:rPr>
              <w:t>Max</w:t>
            </w:r>
            <w:proofErr w:type="spellEnd"/>
            <w:r w:rsidRPr="004109C9">
              <w:rPr>
                <w:rFonts w:cs="Arial"/>
                <w:color w:val="000000"/>
                <w:sz w:val="24"/>
                <w:szCs w:val="24"/>
              </w:rPr>
              <w:t>, кв</w:t>
            </w:r>
            <w:proofErr w:type="gramStart"/>
            <w:r w:rsidRPr="004109C9">
              <w:rPr>
                <w:rFonts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660035" w:rsidRPr="004109C9" w:rsidTr="00870DA4">
        <w:tc>
          <w:tcPr>
            <w:tcW w:w="675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sz w:val="24"/>
                <w:szCs w:val="24"/>
              </w:rPr>
            </w:pPr>
            <w:r w:rsidRPr="004109C9"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4786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109C9">
              <w:rPr>
                <w:rFonts w:cs="Arial"/>
                <w:color w:val="000000"/>
                <w:sz w:val="24"/>
                <w:szCs w:val="24"/>
              </w:rPr>
              <w:t xml:space="preserve">Средняя полная цена, </w:t>
            </w:r>
            <w:r w:rsidR="00B103A4" w:rsidRPr="004109C9">
              <w:rPr>
                <w:rFonts w:cs="Arial"/>
                <w:color w:val="000000"/>
                <w:sz w:val="24"/>
                <w:szCs w:val="24"/>
              </w:rPr>
              <w:t>тыс</w:t>
            </w:r>
            <w:proofErr w:type="gramStart"/>
            <w:r w:rsidR="00B103A4" w:rsidRPr="004109C9">
              <w:rPr>
                <w:rFonts w:cs="Arial"/>
                <w:color w:val="000000"/>
                <w:sz w:val="24"/>
                <w:szCs w:val="24"/>
              </w:rPr>
              <w:t>.</w:t>
            </w:r>
            <w:r w:rsidRPr="004109C9">
              <w:rPr>
                <w:rFonts w:cs="Arial"/>
                <w:color w:val="000000"/>
                <w:sz w:val="24"/>
                <w:szCs w:val="24"/>
              </w:rPr>
              <w:t>р</w:t>
            </w:r>
            <w:proofErr w:type="gramEnd"/>
            <w:r w:rsidRPr="004109C9">
              <w:rPr>
                <w:rFonts w:cs="Arial"/>
                <w:color w:val="000000"/>
                <w:sz w:val="24"/>
                <w:szCs w:val="24"/>
              </w:rPr>
              <w:t>уб.</w:t>
            </w:r>
          </w:p>
        </w:tc>
      </w:tr>
      <w:tr w:rsidR="00660035" w:rsidRPr="004109C9" w:rsidTr="00870DA4">
        <w:tc>
          <w:tcPr>
            <w:tcW w:w="675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sz w:val="24"/>
                <w:szCs w:val="24"/>
              </w:rPr>
            </w:pPr>
            <w:r w:rsidRPr="004109C9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4786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109C9">
              <w:rPr>
                <w:rFonts w:cs="Arial"/>
                <w:color w:val="000000"/>
                <w:sz w:val="24"/>
                <w:szCs w:val="24"/>
              </w:rPr>
              <w:t xml:space="preserve">СКО, </w:t>
            </w:r>
            <w:r w:rsidR="00B103A4" w:rsidRPr="004109C9">
              <w:rPr>
                <w:rFonts w:cs="Arial"/>
                <w:color w:val="000000"/>
                <w:sz w:val="24"/>
                <w:szCs w:val="24"/>
              </w:rPr>
              <w:t>тыс</w:t>
            </w:r>
            <w:proofErr w:type="gramStart"/>
            <w:r w:rsidR="00B103A4" w:rsidRPr="004109C9">
              <w:rPr>
                <w:rFonts w:cs="Arial"/>
                <w:color w:val="000000"/>
                <w:sz w:val="24"/>
                <w:szCs w:val="24"/>
              </w:rPr>
              <w:t>.</w:t>
            </w:r>
            <w:r w:rsidRPr="004109C9">
              <w:rPr>
                <w:rFonts w:cs="Arial"/>
                <w:color w:val="000000"/>
                <w:sz w:val="24"/>
                <w:szCs w:val="24"/>
              </w:rPr>
              <w:t>р</w:t>
            </w:r>
            <w:proofErr w:type="gramEnd"/>
            <w:r w:rsidRPr="004109C9">
              <w:rPr>
                <w:rFonts w:cs="Arial"/>
                <w:color w:val="000000"/>
                <w:sz w:val="24"/>
                <w:szCs w:val="24"/>
              </w:rPr>
              <w:t>уб.</w:t>
            </w:r>
          </w:p>
        </w:tc>
      </w:tr>
      <w:tr w:rsidR="00660035" w:rsidRPr="004109C9" w:rsidTr="00870DA4">
        <w:tc>
          <w:tcPr>
            <w:tcW w:w="675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sz w:val="24"/>
                <w:szCs w:val="24"/>
              </w:rPr>
            </w:pPr>
            <w:r w:rsidRPr="004109C9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4786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109C9">
              <w:rPr>
                <w:rFonts w:cs="Arial"/>
                <w:color w:val="000000"/>
                <w:sz w:val="24"/>
                <w:szCs w:val="24"/>
              </w:rPr>
              <w:t xml:space="preserve">Погрешность, </w:t>
            </w:r>
            <w:r w:rsidR="00B103A4" w:rsidRPr="004109C9">
              <w:rPr>
                <w:rFonts w:cs="Arial"/>
                <w:color w:val="000000"/>
                <w:sz w:val="24"/>
                <w:szCs w:val="24"/>
              </w:rPr>
              <w:t xml:space="preserve">тыс. </w:t>
            </w:r>
            <w:r w:rsidRPr="004109C9">
              <w:rPr>
                <w:rFonts w:cs="Arial"/>
                <w:color w:val="000000"/>
                <w:sz w:val="24"/>
                <w:szCs w:val="24"/>
              </w:rPr>
              <w:t>руб.</w:t>
            </w:r>
          </w:p>
        </w:tc>
      </w:tr>
      <w:tr w:rsidR="00660035" w:rsidRPr="004109C9" w:rsidTr="00870DA4">
        <w:tc>
          <w:tcPr>
            <w:tcW w:w="675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sz w:val="24"/>
                <w:szCs w:val="24"/>
              </w:rPr>
            </w:pPr>
            <w:r w:rsidRPr="004109C9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4786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109C9">
              <w:rPr>
                <w:rFonts w:cs="Arial"/>
                <w:color w:val="000000"/>
                <w:sz w:val="24"/>
                <w:szCs w:val="24"/>
              </w:rPr>
              <w:t>Погрешность, %</w:t>
            </w:r>
          </w:p>
        </w:tc>
      </w:tr>
      <w:tr w:rsidR="00660035" w:rsidRPr="004109C9" w:rsidTr="00870DA4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sz w:val="24"/>
                <w:szCs w:val="24"/>
              </w:rPr>
            </w:pPr>
            <w:r w:rsidRPr="004109C9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4109C9">
              <w:rPr>
                <w:rFonts w:cs="Arial"/>
                <w:color w:val="000000"/>
                <w:sz w:val="24"/>
                <w:szCs w:val="24"/>
              </w:rPr>
              <w:t>Min</w:t>
            </w:r>
            <w:proofErr w:type="spellEnd"/>
            <w:r w:rsidRPr="004109C9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r w:rsidR="00B103A4" w:rsidRPr="004109C9">
              <w:rPr>
                <w:rFonts w:cs="Arial"/>
                <w:color w:val="000000"/>
                <w:sz w:val="24"/>
                <w:szCs w:val="24"/>
              </w:rPr>
              <w:t>тыс</w:t>
            </w:r>
            <w:proofErr w:type="gramStart"/>
            <w:r w:rsidR="00B103A4" w:rsidRPr="004109C9">
              <w:rPr>
                <w:rFonts w:cs="Arial"/>
                <w:color w:val="000000"/>
                <w:sz w:val="24"/>
                <w:szCs w:val="24"/>
              </w:rPr>
              <w:t>.</w:t>
            </w:r>
            <w:r w:rsidRPr="004109C9">
              <w:rPr>
                <w:rFonts w:cs="Arial"/>
                <w:color w:val="000000"/>
                <w:sz w:val="24"/>
                <w:szCs w:val="24"/>
              </w:rPr>
              <w:t>р</w:t>
            </w:r>
            <w:proofErr w:type="gramEnd"/>
            <w:r w:rsidRPr="004109C9">
              <w:rPr>
                <w:rFonts w:cs="Arial"/>
                <w:color w:val="000000"/>
                <w:sz w:val="24"/>
                <w:szCs w:val="24"/>
              </w:rPr>
              <w:t>уб.</w:t>
            </w:r>
          </w:p>
        </w:tc>
      </w:tr>
      <w:tr w:rsidR="00660035" w:rsidRPr="004109C9" w:rsidTr="00870D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sz w:val="24"/>
                <w:szCs w:val="24"/>
              </w:rPr>
            </w:pPr>
            <w:r w:rsidRPr="004109C9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4109C9">
              <w:rPr>
                <w:rFonts w:cs="Arial"/>
                <w:color w:val="000000"/>
                <w:sz w:val="24"/>
                <w:szCs w:val="24"/>
              </w:rPr>
              <w:t>Max</w:t>
            </w:r>
            <w:proofErr w:type="spellEnd"/>
            <w:r w:rsidRPr="004109C9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r w:rsidR="00B103A4" w:rsidRPr="004109C9">
              <w:rPr>
                <w:rFonts w:cs="Arial"/>
                <w:color w:val="000000"/>
                <w:sz w:val="24"/>
                <w:szCs w:val="24"/>
              </w:rPr>
              <w:t>тыс</w:t>
            </w:r>
            <w:proofErr w:type="gramStart"/>
            <w:r w:rsidR="00B103A4" w:rsidRPr="004109C9">
              <w:rPr>
                <w:rFonts w:cs="Arial"/>
                <w:color w:val="000000"/>
                <w:sz w:val="24"/>
                <w:szCs w:val="24"/>
              </w:rPr>
              <w:t>.</w:t>
            </w:r>
            <w:r w:rsidRPr="004109C9">
              <w:rPr>
                <w:rFonts w:cs="Arial"/>
                <w:color w:val="000000"/>
                <w:sz w:val="24"/>
                <w:szCs w:val="24"/>
              </w:rPr>
              <w:t>р</w:t>
            </w:r>
            <w:proofErr w:type="gramEnd"/>
            <w:r w:rsidRPr="004109C9">
              <w:rPr>
                <w:rFonts w:cs="Arial"/>
                <w:color w:val="000000"/>
                <w:sz w:val="24"/>
                <w:szCs w:val="24"/>
              </w:rPr>
              <w:t>уб.</w:t>
            </w:r>
          </w:p>
        </w:tc>
      </w:tr>
    </w:tbl>
    <w:p w:rsidR="00660035" w:rsidRPr="004109C9" w:rsidRDefault="00870DA4" w:rsidP="004109C9">
      <w:pPr>
        <w:spacing w:after="0" w:line="240" w:lineRule="auto"/>
        <w:jc w:val="center"/>
        <w:rPr>
          <w:rFonts w:cs="Arial"/>
          <w:sz w:val="24"/>
          <w:szCs w:val="24"/>
        </w:rPr>
        <w:sectPr w:rsidR="00660035" w:rsidRPr="004109C9" w:rsidSect="001F5AD2">
          <w:pgSz w:w="16838" w:h="11906" w:orient="landscape"/>
          <w:pgMar w:top="851" w:right="1134" w:bottom="568" w:left="709" w:header="708" w:footer="708" w:gutter="0"/>
          <w:cols w:space="315"/>
          <w:titlePg/>
          <w:docGrid w:linePitch="360"/>
        </w:sectPr>
      </w:pPr>
      <w:r w:rsidRPr="004109C9">
        <w:rPr>
          <w:rFonts w:cs="Arial"/>
          <w:sz w:val="24"/>
          <w:szCs w:val="24"/>
        </w:rPr>
        <w:br w:type="textWrapping" w:clear="all"/>
      </w:r>
    </w:p>
    <w:tbl>
      <w:tblPr>
        <w:tblStyle w:val="a6"/>
        <w:tblW w:w="0" w:type="auto"/>
        <w:tblLook w:val="04A0"/>
      </w:tblPr>
      <w:tblGrid>
        <w:gridCol w:w="675"/>
        <w:gridCol w:w="4786"/>
      </w:tblGrid>
      <w:tr w:rsidR="00660035" w:rsidRPr="004109C9" w:rsidTr="004E2FB8">
        <w:tc>
          <w:tcPr>
            <w:tcW w:w="675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sz w:val="24"/>
                <w:szCs w:val="24"/>
              </w:rPr>
            </w:pPr>
            <w:r w:rsidRPr="004109C9">
              <w:rPr>
                <w:rFonts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786" w:type="dxa"/>
            <w:vAlign w:val="center"/>
          </w:tcPr>
          <w:p w:rsidR="00660035" w:rsidRPr="004109C9" w:rsidRDefault="00660035" w:rsidP="004109C9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109C9">
              <w:rPr>
                <w:rFonts w:cs="Arial"/>
                <w:color w:val="000000"/>
                <w:sz w:val="24"/>
                <w:szCs w:val="24"/>
              </w:rPr>
              <w:t>Средневзвешенная удельная цена, руб./кв.м.</w:t>
            </w:r>
          </w:p>
        </w:tc>
      </w:tr>
    </w:tbl>
    <w:p w:rsidR="00E600FB" w:rsidRDefault="00E600FB" w:rsidP="00660035">
      <w:pPr>
        <w:rPr>
          <w:rFonts w:ascii="Arial" w:hAnsi="Arial" w:cs="Arial"/>
          <w:sz w:val="20"/>
          <w:szCs w:val="20"/>
        </w:rPr>
      </w:pPr>
    </w:p>
    <w:p w:rsidR="00DC6559" w:rsidRDefault="00DC6559" w:rsidP="00660035">
      <w:pPr>
        <w:rPr>
          <w:rFonts w:ascii="Arial" w:hAnsi="Arial" w:cs="Arial"/>
          <w:sz w:val="20"/>
          <w:szCs w:val="20"/>
        </w:rPr>
      </w:pPr>
    </w:p>
    <w:p w:rsidR="00DC6559" w:rsidRDefault="00DC6559" w:rsidP="00660035">
      <w:pPr>
        <w:rPr>
          <w:rFonts w:ascii="Arial" w:hAnsi="Arial" w:cs="Arial"/>
          <w:sz w:val="20"/>
          <w:szCs w:val="20"/>
        </w:rPr>
      </w:pPr>
    </w:p>
    <w:p w:rsidR="00DC6559" w:rsidRDefault="00DC6559" w:rsidP="00660035">
      <w:pPr>
        <w:rPr>
          <w:rFonts w:ascii="Arial" w:hAnsi="Arial" w:cs="Arial"/>
          <w:sz w:val="20"/>
          <w:szCs w:val="20"/>
        </w:rPr>
      </w:pPr>
    </w:p>
    <w:p w:rsidR="00DC6559" w:rsidRDefault="00DC6559" w:rsidP="00660035">
      <w:pPr>
        <w:rPr>
          <w:rFonts w:ascii="Arial" w:hAnsi="Arial" w:cs="Arial"/>
          <w:sz w:val="20"/>
          <w:szCs w:val="20"/>
        </w:rPr>
      </w:pPr>
    </w:p>
    <w:p w:rsidR="00DC6559" w:rsidRDefault="00DC6559" w:rsidP="00660035">
      <w:pPr>
        <w:rPr>
          <w:rFonts w:ascii="Arial" w:hAnsi="Arial" w:cs="Arial"/>
          <w:sz w:val="20"/>
          <w:szCs w:val="20"/>
        </w:rPr>
      </w:pPr>
    </w:p>
    <w:p w:rsidR="00DC6559" w:rsidRDefault="00DC6559" w:rsidP="00660035">
      <w:pPr>
        <w:rPr>
          <w:rFonts w:ascii="Arial" w:hAnsi="Arial" w:cs="Arial"/>
          <w:sz w:val="20"/>
          <w:szCs w:val="20"/>
        </w:rPr>
      </w:pPr>
    </w:p>
    <w:p w:rsidR="00DC6559" w:rsidRDefault="00DC6559" w:rsidP="00660035">
      <w:pPr>
        <w:rPr>
          <w:rFonts w:ascii="Arial" w:hAnsi="Arial" w:cs="Arial"/>
          <w:sz w:val="20"/>
          <w:szCs w:val="20"/>
        </w:rPr>
      </w:pPr>
    </w:p>
    <w:tbl>
      <w:tblPr>
        <w:tblW w:w="16044" w:type="dxa"/>
        <w:tblInd w:w="93" w:type="dxa"/>
        <w:tblLook w:val="04A0"/>
      </w:tblPr>
      <w:tblGrid>
        <w:gridCol w:w="1003"/>
        <w:gridCol w:w="1161"/>
        <w:gridCol w:w="706"/>
        <w:gridCol w:w="774"/>
        <w:gridCol w:w="720"/>
        <w:gridCol w:w="572"/>
        <w:gridCol w:w="598"/>
        <w:gridCol w:w="774"/>
        <w:gridCol w:w="774"/>
        <w:gridCol w:w="495"/>
        <w:gridCol w:w="440"/>
        <w:gridCol w:w="415"/>
        <w:gridCol w:w="688"/>
        <w:gridCol w:w="599"/>
        <w:gridCol w:w="566"/>
        <w:gridCol w:w="851"/>
        <w:gridCol w:w="708"/>
        <w:gridCol w:w="938"/>
        <w:gridCol w:w="494"/>
        <w:gridCol w:w="943"/>
        <w:gridCol w:w="948"/>
        <w:gridCol w:w="933"/>
      </w:tblGrid>
      <w:tr w:rsidR="001F5AD2" w:rsidRPr="001F5AD2" w:rsidTr="00391ECA">
        <w:trPr>
          <w:trHeight w:val="4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Кол-во комнат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D2" w:rsidRPr="00391ECA" w:rsidRDefault="001F5AD2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391ECA" w:rsidRPr="00DC6559" w:rsidTr="00391ECA">
        <w:trPr>
          <w:trHeight w:val="369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ECA" w:rsidRPr="00391ECA" w:rsidRDefault="00391ECA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sz w:val="18"/>
                <w:szCs w:val="18"/>
              </w:rPr>
              <w:t>Все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ECA" w:rsidRPr="00391ECA" w:rsidRDefault="00391ECA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sz w:val="18"/>
                <w:szCs w:val="18"/>
              </w:rPr>
              <w:t>Все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1663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49023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7160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25758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72000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2688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788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6800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48244</w:t>
            </w:r>
          </w:p>
        </w:tc>
      </w:tr>
      <w:tr w:rsidR="00391ECA" w:rsidRPr="00DC6559" w:rsidTr="00391ECA">
        <w:trPr>
          <w:trHeight w:val="2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CA" w:rsidRPr="00391ECA" w:rsidRDefault="00391ECA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ECA" w:rsidRPr="00391ECA" w:rsidRDefault="00391ECA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sz w:val="18"/>
                <w:szCs w:val="18"/>
              </w:rPr>
              <w:t>1-комн.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54936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8035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33445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78125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1891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54642</w:t>
            </w:r>
          </w:p>
        </w:tc>
      </w:tr>
      <w:tr w:rsidR="00391ECA" w:rsidRPr="00DC6559" w:rsidTr="00391ECA">
        <w:trPr>
          <w:trHeight w:val="2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CA" w:rsidRPr="00391ECA" w:rsidRDefault="00391ECA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ECA" w:rsidRPr="00391ECA" w:rsidRDefault="00391ECA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sz w:val="18"/>
                <w:szCs w:val="18"/>
              </w:rPr>
              <w:t>2-комн.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49370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6344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30189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68627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2449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950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49413</w:t>
            </w:r>
          </w:p>
        </w:tc>
      </w:tr>
      <w:tr w:rsidR="00391ECA" w:rsidRPr="00DC6559" w:rsidTr="00391ECA">
        <w:trPr>
          <w:trHeight w:val="2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CA" w:rsidRPr="00391ECA" w:rsidRDefault="00391ECA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ECA" w:rsidRPr="00391ECA" w:rsidRDefault="00391ECA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sz w:val="18"/>
                <w:szCs w:val="18"/>
              </w:rPr>
              <w:t>3-комн.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47482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5989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27778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65333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662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6800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47377</w:t>
            </w:r>
          </w:p>
        </w:tc>
      </w:tr>
      <w:tr w:rsidR="00391ECA" w:rsidRPr="00DC6559" w:rsidTr="00391ECA">
        <w:trPr>
          <w:trHeight w:val="2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CA" w:rsidRPr="00391ECA" w:rsidRDefault="00391ECA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ECA" w:rsidRPr="00391ECA" w:rsidRDefault="00391ECA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proofErr w:type="spellStart"/>
            <w:r w:rsidRPr="00391ECA">
              <w:rPr>
                <w:rFonts w:eastAsia="Times New Roman" w:cs="Arial"/>
                <w:b/>
                <w:sz w:val="18"/>
                <w:szCs w:val="18"/>
              </w:rPr>
              <w:t>многокомн</w:t>
            </w:r>
            <w:proofErr w:type="spellEnd"/>
            <w:r w:rsidRPr="00391ECA">
              <w:rPr>
                <w:rFonts w:eastAsia="Times New Roman" w:cs="Arial"/>
                <w:b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44224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5019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26667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59068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3636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981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9300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44043</w:t>
            </w:r>
          </w:p>
        </w:tc>
      </w:tr>
      <w:tr w:rsidR="00391ECA" w:rsidRPr="00DC6559" w:rsidTr="00391ECA">
        <w:trPr>
          <w:trHeight w:val="22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ECA" w:rsidRPr="00391ECA" w:rsidRDefault="00391ECA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sz w:val="18"/>
                <w:szCs w:val="18"/>
              </w:rPr>
              <w:t>Нагорный Тобольск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ECA" w:rsidRPr="00391ECA" w:rsidRDefault="00391ECA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sz w:val="18"/>
                <w:szCs w:val="18"/>
              </w:rPr>
              <w:t>Все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1584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49419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6749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29474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70149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777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6800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48616</w:t>
            </w:r>
          </w:p>
        </w:tc>
      </w:tr>
      <w:tr w:rsidR="00391ECA" w:rsidRPr="00DC6559" w:rsidTr="00391ECA">
        <w:trPr>
          <w:trHeight w:val="2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CA" w:rsidRPr="00391ECA" w:rsidRDefault="00391ECA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ECA" w:rsidRPr="00391ECA" w:rsidRDefault="00391ECA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sz w:val="18"/>
                <w:szCs w:val="18"/>
              </w:rPr>
              <w:t>1-комн.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55573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7621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35366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78125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55488</w:t>
            </w:r>
          </w:p>
        </w:tc>
      </w:tr>
      <w:tr w:rsidR="00391ECA" w:rsidRPr="00DC6559" w:rsidTr="00391ECA">
        <w:trPr>
          <w:trHeight w:val="2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CA" w:rsidRPr="00391ECA" w:rsidRDefault="00391ECA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ECA" w:rsidRPr="00391ECA" w:rsidRDefault="00391ECA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sz w:val="18"/>
                <w:szCs w:val="18"/>
              </w:rPr>
              <w:t>2-комн.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49755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5743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34268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66667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49912</w:t>
            </w:r>
          </w:p>
        </w:tc>
      </w:tr>
      <w:tr w:rsidR="00391ECA" w:rsidRPr="00DC6559" w:rsidTr="00391ECA">
        <w:trPr>
          <w:trHeight w:val="2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CA" w:rsidRPr="00391ECA" w:rsidRDefault="00391ECA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ECA" w:rsidRPr="00391ECA" w:rsidRDefault="00391ECA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391ECA">
              <w:rPr>
                <w:rFonts w:eastAsia="Times New Roman" w:cs="Arial"/>
                <w:b/>
                <w:sz w:val="18"/>
                <w:szCs w:val="18"/>
              </w:rPr>
              <w:t>3-комн.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47939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5413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30508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65073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635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6800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47907</w:t>
            </w:r>
          </w:p>
        </w:tc>
      </w:tr>
      <w:tr w:rsidR="00391ECA" w:rsidRPr="00DC6559" w:rsidTr="00391ECA">
        <w:trPr>
          <w:trHeight w:val="2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CA" w:rsidRPr="00391ECA" w:rsidRDefault="00391ECA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ECA" w:rsidRPr="00391ECA" w:rsidRDefault="00391ECA" w:rsidP="00391ECA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proofErr w:type="spellStart"/>
            <w:r w:rsidRPr="00391ECA">
              <w:rPr>
                <w:rFonts w:eastAsia="Times New Roman" w:cs="Arial"/>
                <w:b/>
                <w:sz w:val="18"/>
                <w:szCs w:val="18"/>
              </w:rPr>
              <w:t>многокомн</w:t>
            </w:r>
            <w:proofErr w:type="spellEnd"/>
            <w:r w:rsidRPr="00391ECA">
              <w:rPr>
                <w:rFonts w:eastAsia="Times New Roman" w:cs="Arial"/>
                <w:b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44391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5027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29474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63636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9300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ECA" w:rsidRPr="00391ECA" w:rsidRDefault="00391ECA" w:rsidP="00391ECA">
            <w:pPr>
              <w:jc w:val="center"/>
              <w:rPr>
                <w:color w:val="000000"/>
                <w:sz w:val="18"/>
                <w:szCs w:val="18"/>
              </w:rPr>
            </w:pPr>
            <w:r w:rsidRPr="00391ECA">
              <w:rPr>
                <w:color w:val="000000"/>
                <w:sz w:val="18"/>
                <w:szCs w:val="18"/>
              </w:rPr>
              <w:t>44309</w:t>
            </w:r>
          </w:p>
        </w:tc>
      </w:tr>
    </w:tbl>
    <w:p w:rsidR="001F5AD2" w:rsidRDefault="001F5AD2" w:rsidP="00660035">
      <w:pPr>
        <w:rPr>
          <w:rFonts w:ascii="Arial" w:hAnsi="Arial" w:cs="Arial"/>
          <w:sz w:val="16"/>
          <w:szCs w:val="16"/>
        </w:rPr>
      </w:pPr>
    </w:p>
    <w:p w:rsidR="00DC6559" w:rsidRDefault="00DC6559" w:rsidP="00660035">
      <w:pPr>
        <w:rPr>
          <w:rFonts w:ascii="Arial" w:hAnsi="Arial" w:cs="Arial"/>
          <w:sz w:val="16"/>
          <w:szCs w:val="16"/>
        </w:rPr>
      </w:pPr>
    </w:p>
    <w:p w:rsidR="00DC6559" w:rsidRDefault="00DC6559" w:rsidP="00660035">
      <w:pPr>
        <w:rPr>
          <w:rFonts w:ascii="Arial" w:hAnsi="Arial" w:cs="Arial"/>
          <w:sz w:val="16"/>
          <w:szCs w:val="16"/>
        </w:rPr>
      </w:pPr>
    </w:p>
    <w:p w:rsidR="00DC6559" w:rsidRDefault="00DC6559" w:rsidP="00660035">
      <w:pPr>
        <w:rPr>
          <w:rFonts w:ascii="Arial" w:hAnsi="Arial" w:cs="Arial"/>
          <w:sz w:val="16"/>
          <w:szCs w:val="16"/>
        </w:rPr>
      </w:pPr>
    </w:p>
    <w:p w:rsidR="00DC6559" w:rsidRDefault="00DC6559" w:rsidP="00660035">
      <w:pPr>
        <w:rPr>
          <w:rFonts w:ascii="Arial" w:hAnsi="Arial" w:cs="Arial"/>
          <w:sz w:val="16"/>
          <w:szCs w:val="16"/>
        </w:rPr>
      </w:pPr>
    </w:p>
    <w:p w:rsidR="00DC6559" w:rsidRDefault="00DC6559" w:rsidP="00660035">
      <w:pPr>
        <w:rPr>
          <w:rFonts w:ascii="Arial" w:hAnsi="Arial" w:cs="Arial"/>
          <w:sz w:val="16"/>
          <w:szCs w:val="16"/>
        </w:rPr>
      </w:pPr>
    </w:p>
    <w:p w:rsidR="00DC6559" w:rsidRDefault="00DC6559" w:rsidP="00660035">
      <w:pPr>
        <w:rPr>
          <w:rFonts w:ascii="Arial" w:hAnsi="Arial" w:cs="Arial"/>
          <w:sz w:val="16"/>
          <w:szCs w:val="16"/>
        </w:rPr>
      </w:pPr>
    </w:p>
    <w:p w:rsidR="00391ECA" w:rsidRDefault="00391ECA" w:rsidP="00660035">
      <w:pPr>
        <w:rPr>
          <w:rFonts w:ascii="Arial" w:hAnsi="Arial" w:cs="Arial"/>
          <w:sz w:val="16"/>
          <w:szCs w:val="16"/>
        </w:rPr>
        <w:sectPr w:rsidR="00391ECA" w:rsidSect="001F5AD2">
          <w:type w:val="continuous"/>
          <w:pgSz w:w="16838" w:h="11906" w:orient="landscape"/>
          <w:pgMar w:top="851" w:right="1134" w:bottom="568" w:left="709" w:header="708" w:footer="708" w:gutter="0"/>
          <w:cols w:space="315"/>
          <w:titlePg/>
          <w:docGrid w:linePitch="360"/>
        </w:sectPr>
      </w:pPr>
    </w:p>
    <w:p w:rsidR="00DC6559" w:rsidRPr="00DC6559" w:rsidRDefault="00DC6559" w:rsidP="006600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inline distT="0" distB="0" distL="0" distR="0">
            <wp:extent cx="6659245" cy="9411335"/>
            <wp:effectExtent l="19050" t="0" r="8255" b="0"/>
            <wp:docPr id="29" name="Рисунок 28" descr="последняя страниц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едняя страница 2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245" cy="941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6559" w:rsidRPr="00DC6559" w:rsidSect="00DC6559">
      <w:pgSz w:w="11906" w:h="16838"/>
      <w:pgMar w:top="709" w:right="851" w:bottom="1134" w:left="568" w:header="708" w:footer="708" w:gutter="0"/>
      <w:cols w:space="31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9C8" w:rsidRDefault="00E539C8" w:rsidP="00CD383D">
      <w:pPr>
        <w:spacing w:after="0" w:line="240" w:lineRule="auto"/>
      </w:pPr>
      <w:r>
        <w:separator/>
      </w:r>
    </w:p>
  </w:endnote>
  <w:endnote w:type="continuationSeparator" w:id="1">
    <w:p w:rsidR="00E539C8" w:rsidRDefault="00E539C8" w:rsidP="00CD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9C8" w:rsidRDefault="00E539C8" w:rsidP="00CD383D">
      <w:pPr>
        <w:spacing w:after="0" w:line="240" w:lineRule="auto"/>
      </w:pPr>
      <w:r>
        <w:separator/>
      </w:r>
    </w:p>
  </w:footnote>
  <w:footnote w:type="continuationSeparator" w:id="1">
    <w:p w:rsidR="00E539C8" w:rsidRDefault="00E539C8" w:rsidP="00CD383D">
      <w:pPr>
        <w:spacing w:after="0" w:line="240" w:lineRule="auto"/>
      </w:pPr>
      <w:r>
        <w:continuationSeparator/>
      </w:r>
    </w:p>
  </w:footnote>
  <w:footnote w:id="2">
    <w:p w:rsidR="000D7893" w:rsidRDefault="000D7893" w:rsidP="004C40EB">
      <w:pPr>
        <w:pStyle w:val="ac"/>
      </w:pPr>
      <w:r>
        <w:rPr>
          <w:rStyle w:val="ae"/>
        </w:rPr>
        <w:footnoteRef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Отчет выполнен в соответствии с методическими рекомендациями по анализу рынка недвижимости Г.М.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Стерника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принятыми Российской Гильдией Риэлторов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76ED"/>
    <w:multiLevelType w:val="hybridMultilevel"/>
    <w:tmpl w:val="48A0B4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B352F27"/>
    <w:multiLevelType w:val="hybridMultilevel"/>
    <w:tmpl w:val="59A0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036AE"/>
    <w:multiLevelType w:val="hybridMultilevel"/>
    <w:tmpl w:val="CC2896F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57866697"/>
    <w:multiLevelType w:val="hybridMultilevel"/>
    <w:tmpl w:val="17544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724BA"/>
    <w:multiLevelType w:val="hybridMultilevel"/>
    <w:tmpl w:val="382E89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81161"/>
    <w:multiLevelType w:val="hybridMultilevel"/>
    <w:tmpl w:val="C5D65E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870413C"/>
    <w:multiLevelType w:val="hybridMultilevel"/>
    <w:tmpl w:val="A5C28FD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5BA5"/>
    <w:rsid w:val="00001361"/>
    <w:rsid w:val="00003E65"/>
    <w:rsid w:val="00005974"/>
    <w:rsid w:val="0002386B"/>
    <w:rsid w:val="00023E18"/>
    <w:rsid w:val="00031660"/>
    <w:rsid w:val="000323DA"/>
    <w:rsid w:val="00044EB8"/>
    <w:rsid w:val="000467C2"/>
    <w:rsid w:val="00047CA7"/>
    <w:rsid w:val="000605C1"/>
    <w:rsid w:val="000628C2"/>
    <w:rsid w:val="00062F6C"/>
    <w:rsid w:val="00071CBC"/>
    <w:rsid w:val="0007286B"/>
    <w:rsid w:val="00076763"/>
    <w:rsid w:val="00086C43"/>
    <w:rsid w:val="00090F38"/>
    <w:rsid w:val="00091401"/>
    <w:rsid w:val="000A1FEF"/>
    <w:rsid w:val="000A409C"/>
    <w:rsid w:val="000B5756"/>
    <w:rsid w:val="000B67B0"/>
    <w:rsid w:val="000C0B68"/>
    <w:rsid w:val="000C1194"/>
    <w:rsid w:val="000C454D"/>
    <w:rsid w:val="000C5B3D"/>
    <w:rsid w:val="000D57A6"/>
    <w:rsid w:val="000D7893"/>
    <w:rsid w:val="000E1CD3"/>
    <w:rsid w:val="000F2467"/>
    <w:rsid w:val="000F3F04"/>
    <w:rsid w:val="00100971"/>
    <w:rsid w:val="0011054C"/>
    <w:rsid w:val="001128F5"/>
    <w:rsid w:val="001134B4"/>
    <w:rsid w:val="00121045"/>
    <w:rsid w:val="0012352F"/>
    <w:rsid w:val="00126225"/>
    <w:rsid w:val="00126F5E"/>
    <w:rsid w:val="001314D8"/>
    <w:rsid w:val="001363E6"/>
    <w:rsid w:val="00136A95"/>
    <w:rsid w:val="00140739"/>
    <w:rsid w:val="00145C4B"/>
    <w:rsid w:val="00156A5A"/>
    <w:rsid w:val="0017469E"/>
    <w:rsid w:val="001820E3"/>
    <w:rsid w:val="00185C94"/>
    <w:rsid w:val="001957C9"/>
    <w:rsid w:val="001959D6"/>
    <w:rsid w:val="00196911"/>
    <w:rsid w:val="00197F96"/>
    <w:rsid w:val="001A4E1B"/>
    <w:rsid w:val="001B03B9"/>
    <w:rsid w:val="001B2C48"/>
    <w:rsid w:val="001B383A"/>
    <w:rsid w:val="001C034A"/>
    <w:rsid w:val="001C32F9"/>
    <w:rsid w:val="001C785F"/>
    <w:rsid w:val="001D1367"/>
    <w:rsid w:val="001E0B30"/>
    <w:rsid w:val="001E3563"/>
    <w:rsid w:val="001E622A"/>
    <w:rsid w:val="001F5AD2"/>
    <w:rsid w:val="0020251A"/>
    <w:rsid w:val="00207048"/>
    <w:rsid w:val="002147AE"/>
    <w:rsid w:val="002213B9"/>
    <w:rsid w:val="00222371"/>
    <w:rsid w:val="00225F1C"/>
    <w:rsid w:val="00231707"/>
    <w:rsid w:val="00231C51"/>
    <w:rsid w:val="002323A4"/>
    <w:rsid w:val="002359B5"/>
    <w:rsid w:val="00247246"/>
    <w:rsid w:val="00264EB2"/>
    <w:rsid w:val="002650C3"/>
    <w:rsid w:val="00266E3B"/>
    <w:rsid w:val="002712D8"/>
    <w:rsid w:val="00275AB0"/>
    <w:rsid w:val="00283307"/>
    <w:rsid w:val="0028762D"/>
    <w:rsid w:val="00292D91"/>
    <w:rsid w:val="002951A9"/>
    <w:rsid w:val="002A41DD"/>
    <w:rsid w:val="002A75E6"/>
    <w:rsid w:val="002A7B73"/>
    <w:rsid w:val="002B2C1D"/>
    <w:rsid w:val="002B76CF"/>
    <w:rsid w:val="002D2ED4"/>
    <w:rsid w:val="002D48C3"/>
    <w:rsid w:val="002D7A8A"/>
    <w:rsid w:val="002F050F"/>
    <w:rsid w:val="002F298D"/>
    <w:rsid w:val="003019DE"/>
    <w:rsid w:val="00304C2A"/>
    <w:rsid w:val="003100C3"/>
    <w:rsid w:val="00312440"/>
    <w:rsid w:val="00314C27"/>
    <w:rsid w:val="003214BA"/>
    <w:rsid w:val="0032195E"/>
    <w:rsid w:val="0032340B"/>
    <w:rsid w:val="00324F7D"/>
    <w:rsid w:val="00325095"/>
    <w:rsid w:val="00325FA9"/>
    <w:rsid w:val="00327A4D"/>
    <w:rsid w:val="00334112"/>
    <w:rsid w:val="00340838"/>
    <w:rsid w:val="003431DD"/>
    <w:rsid w:val="003513D6"/>
    <w:rsid w:val="00354320"/>
    <w:rsid w:val="00356681"/>
    <w:rsid w:val="003636CD"/>
    <w:rsid w:val="003673A8"/>
    <w:rsid w:val="00367E0D"/>
    <w:rsid w:val="00374958"/>
    <w:rsid w:val="00376007"/>
    <w:rsid w:val="00380B56"/>
    <w:rsid w:val="00391E05"/>
    <w:rsid w:val="00391ECA"/>
    <w:rsid w:val="003936E1"/>
    <w:rsid w:val="003940F9"/>
    <w:rsid w:val="003942D7"/>
    <w:rsid w:val="0039480D"/>
    <w:rsid w:val="00395C07"/>
    <w:rsid w:val="003A2E5D"/>
    <w:rsid w:val="003A5F4C"/>
    <w:rsid w:val="003B2FB3"/>
    <w:rsid w:val="003B76D5"/>
    <w:rsid w:val="003C0679"/>
    <w:rsid w:val="003E6EC5"/>
    <w:rsid w:val="003F15D3"/>
    <w:rsid w:val="003F309D"/>
    <w:rsid w:val="003F39F1"/>
    <w:rsid w:val="00403BD9"/>
    <w:rsid w:val="00404F32"/>
    <w:rsid w:val="004109C9"/>
    <w:rsid w:val="00412CBC"/>
    <w:rsid w:val="00424DE7"/>
    <w:rsid w:val="0042539C"/>
    <w:rsid w:val="00431D8E"/>
    <w:rsid w:val="00435357"/>
    <w:rsid w:val="00447842"/>
    <w:rsid w:val="00450979"/>
    <w:rsid w:val="004524F7"/>
    <w:rsid w:val="00457B96"/>
    <w:rsid w:val="004643F2"/>
    <w:rsid w:val="00473544"/>
    <w:rsid w:val="00477104"/>
    <w:rsid w:val="00482AF2"/>
    <w:rsid w:val="00486322"/>
    <w:rsid w:val="004903C4"/>
    <w:rsid w:val="00492ABA"/>
    <w:rsid w:val="0049523F"/>
    <w:rsid w:val="004964DA"/>
    <w:rsid w:val="004A455F"/>
    <w:rsid w:val="004A6786"/>
    <w:rsid w:val="004B0C9D"/>
    <w:rsid w:val="004B2C8A"/>
    <w:rsid w:val="004B3D11"/>
    <w:rsid w:val="004B4379"/>
    <w:rsid w:val="004B5F71"/>
    <w:rsid w:val="004C06AD"/>
    <w:rsid w:val="004C40EB"/>
    <w:rsid w:val="004C5AA3"/>
    <w:rsid w:val="004D29ED"/>
    <w:rsid w:val="004E06B4"/>
    <w:rsid w:val="004E2FB8"/>
    <w:rsid w:val="004E5674"/>
    <w:rsid w:val="004F3479"/>
    <w:rsid w:val="005009DA"/>
    <w:rsid w:val="00501883"/>
    <w:rsid w:val="00505DDA"/>
    <w:rsid w:val="00511F67"/>
    <w:rsid w:val="00512328"/>
    <w:rsid w:val="0051509C"/>
    <w:rsid w:val="005253F1"/>
    <w:rsid w:val="0052680D"/>
    <w:rsid w:val="0052727C"/>
    <w:rsid w:val="0053094E"/>
    <w:rsid w:val="0053298B"/>
    <w:rsid w:val="0053534F"/>
    <w:rsid w:val="00535B51"/>
    <w:rsid w:val="00552C8C"/>
    <w:rsid w:val="0055585D"/>
    <w:rsid w:val="00570272"/>
    <w:rsid w:val="00570273"/>
    <w:rsid w:val="00570611"/>
    <w:rsid w:val="00571DA9"/>
    <w:rsid w:val="00573F18"/>
    <w:rsid w:val="00576ED5"/>
    <w:rsid w:val="00581958"/>
    <w:rsid w:val="005830C0"/>
    <w:rsid w:val="00584CCE"/>
    <w:rsid w:val="005850FF"/>
    <w:rsid w:val="00586603"/>
    <w:rsid w:val="00587295"/>
    <w:rsid w:val="0058766F"/>
    <w:rsid w:val="00590D87"/>
    <w:rsid w:val="00592FE3"/>
    <w:rsid w:val="0059345C"/>
    <w:rsid w:val="00594064"/>
    <w:rsid w:val="005A1080"/>
    <w:rsid w:val="005A3335"/>
    <w:rsid w:val="005A6466"/>
    <w:rsid w:val="005B084C"/>
    <w:rsid w:val="005B1571"/>
    <w:rsid w:val="005B21F1"/>
    <w:rsid w:val="005B5A57"/>
    <w:rsid w:val="005C2AFE"/>
    <w:rsid w:val="005C33BC"/>
    <w:rsid w:val="005D34BB"/>
    <w:rsid w:val="005E4FBD"/>
    <w:rsid w:val="005E5DE8"/>
    <w:rsid w:val="005E68B3"/>
    <w:rsid w:val="005F2FF0"/>
    <w:rsid w:val="005F6BFE"/>
    <w:rsid w:val="00602007"/>
    <w:rsid w:val="00604DA3"/>
    <w:rsid w:val="00612DDB"/>
    <w:rsid w:val="00615811"/>
    <w:rsid w:val="006255D4"/>
    <w:rsid w:val="0064362E"/>
    <w:rsid w:val="006445C1"/>
    <w:rsid w:val="00660035"/>
    <w:rsid w:val="00661FC0"/>
    <w:rsid w:val="00662C23"/>
    <w:rsid w:val="00663331"/>
    <w:rsid w:val="00666264"/>
    <w:rsid w:val="00667DCB"/>
    <w:rsid w:val="00673866"/>
    <w:rsid w:val="0068272F"/>
    <w:rsid w:val="006862AD"/>
    <w:rsid w:val="0069042E"/>
    <w:rsid w:val="00690DD3"/>
    <w:rsid w:val="006914D9"/>
    <w:rsid w:val="00694361"/>
    <w:rsid w:val="006A4728"/>
    <w:rsid w:val="006A5320"/>
    <w:rsid w:val="006A57B9"/>
    <w:rsid w:val="006A78B3"/>
    <w:rsid w:val="006A7CFA"/>
    <w:rsid w:val="006B3818"/>
    <w:rsid w:val="006B460C"/>
    <w:rsid w:val="006C4484"/>
    <w:rsid w:val="006D095F"/>
    <w:rsid w:val="006D25B2"/>
    <w:rsid w:val="006D3256"/>
    <w:rsid w:val="006E5013"/>
    <w:rsid w:val="006E6D91"/>
    <w:rsid w:val="006F3619"/>
    <w:rsid w:val="00703F47"/>
    <w:rsid w:val="007056BF"/>
    <w:rsid w:val="00721AB6"/>
    <w:rsid w:val="00724DA0"/>
    <w:rsid w:val="00731DF2"/>
    <w:rsid w:val="00741593"/>
    <w:rsid w:val="00747439"/>
    <w:rsid w:val="007615E7"/>
    <w:rsid w:val="007643BB"/>
    <w:rsid w:val="007667FC"/>
    <w:rsid w:val="00767C5D"/>
    <w:rsid w:val="00772596"/>
    <w:rsid w:val="00773263"/>
    <w:rsid w:val="00773C57"/>
    <w:rsid w:val="00774326"/>
    <w:rsid w:val="00785BA5"/>
    <w:rsid w:val="007901C1"/>
    <w:rsid w:val="00795D31"/>
    <w:rsid w:val="00796C81"/>
    <w:rsid w:val="0079733B"/>
    <w:rsid w:val="007A0356"/>
    <w:rsid w:val="007A5A37"/>
    <w:rsid w:val="007A5E7D"/>
    <w:rsid w:val="007C0CD4"/>
    <w:rsid w:val="007C66C4"/>
    <w:rsid w:val="007D114A"/>
    <w:rsid w:val="007D4A6E"/>
    <w:rsid w:val="007D6F78"/>
    <w:rsid w:val="007F0513"/>
    <w:rsid w:val="007F071D"/>
    <w:rsid w:val="007F08EC"/>
    <w:rsid w:val="007F3295"/>
    <w:rsid w:val="00801678"/>
    <w:rsid w:val="00803914"/>
    <w:rsid w:val="008049E0"/>
    <w:rsid w:val="00806E6B"/>
    <w:rsid w:val="008120BF"/>
    <w:rsid w:val="00813A8D"/>
    <w:rsid w:val="0081790E"/>
    <w:rsid w:val="00822726"/>
    <w:rsid w:val="008249E5"/>
    <w:rsid w:val="008251E0"/>
    <w:rsid w:val="008262D0"/>
    <w:rsid w:val="0082640C"/>
    <w:rsid w:val="00826ABE"/>
    <w:rsid w:val="008316C9"/>
    <w:rsid w:val="0083396C"/>
    <w:rsid w:val="0083484C"/>
    <w:rsid w:val="00834E11"/>
    <w:rsid w:val="00845957"/>
    <w:rsid w:val="008466CB"/>
    <w:rsid w:val="00850670"/>
    <w:rsid w:val="00857B5C"/>
    <w:rsid w:val="00860B25"/>
    <w:rsid w:val="008623E1"/>
    <w:rsid w:val="00864845"/>
    <w:rsid w:val="008702AA"/>
    <w:rsid w:val="00870C5E"/>
    <w:rsid w:val="00870DA4"/>
    <w:rsid w:val="008731F6"/>
    <w:rsid w:val="00884F20"/>
    <w:rsid w:val="00890C7D"/>
    <w:rsid w:val="008A38FF"/>
    <w:rsid w:val="008A5009"/>
    <w:rsid w:val="008B0275"/>
    <w:rsid w:val="008B2D23"/>
    <w:rsid w:val="008B3F7E"/>
    <w:rsid w:val="008C2BD7"/>
    <w:rsid w:val="008C50EE"/>
    <w:rsid w:val="008D1172"/>
    <w:rsid w:val="008D2037"/>
    <w:rsid w:val="008D6794"/>
    <w:rsid w:val="008D7D99"/>
    <w:rsid w:val="008E7ED3"/>
    <w:rsid w:val="008F0080"/>
    <w:rsid w:val="008F5FAC"/>
    <w:rsid w:val="00905D1D"/>
    <w:rsid w:val="0090676C"/>
    <w:rsid w:val="00906DD2"/>
    <w:rsid w:val="009235D4"/>
    <w:rsid w:val="009263BC"/>
    <w:rsid w:val="00926822"/>
    <w:rsid w:val="00932572"/>
    <w:rsid w:val="009331CF"/>
    <w:rsid w:val="00942ED8"/>
    <w:rsid w:val="00943103"/>
    <w:rsid w:val="00943A8E"/>
    <w:rsid w:val="00950726"/>
    <w:rsid w:val="00960EC5"/>
    <w:rsid w:val="00967663"/>
    <w:rsid w:val="00977931"/>
    <w:rsid w:val="00982D97"/>
    <w:rsid w:val="009855A4"/>
    <w:rsid w:val="00986E0B"/>
    <w:rsid w:val="009A1A41"/>
    <w:rsid w:val="009A3C7A"/>
    <w:rsid w:val="009A4BDB"/>
    <w:rsid w:val="009A73E7"/>
    <w:rsid w:val="009A74BE"/>
    <w:rsid w:val="009B05FE"/>
    <w:rsid w:val="009B1B86"/>
    <w:rsid w:val="009B5AAD"/>
    <w:rsid w:val="009C0155"/>
    <w:rsid w:val="009D3D1D"/>
    <w:rsid w:val="009D42EA"/>
    <w:rsid w:val="009D56EE"/>
    <w:rsid w:val="009E7324"/>
    <w:rsid w:val="009F6353"/>
    <w:rsid w:val="009F7F6C"/>
    <w:rsid w:val="00A11C69"/>
    <w:rsid w:val="00A1546B"/>
    <w:rsid w:val="00A16D19"/>
    <w:rsid w:val="00A1749E"/>
    <w:rsid w:val="00A17DF4"/>
    <w:rsid w:val="00A23C9B"/>
    <w:rsid w:val="00A31A8D"/>
    <w:rsid w:val="00A332E8"/>
    <w:rsid w:val="00A401F8"/>
    <w:rsid w:val="00A42996"/>
    <w:rsid w:val="00A50F15"/>
    <w:rsid w:val="00A5178C"/>
    <w:rsid w:val="00A518E5"/>
    <w:rsid w:val="00A54B47"/>
    <w:rsid w:val="00A62EEB"/>
    <w:rsid w:val="00A733A2"/>
    <w:rsid w:val="00A942BA"/>
    <w:rsid w:val="00A95010"/>
    <w:rsid w:val="00AA0F60"/>
    <w:rsid w:val="00AA16AF"/>
    <w:rsid w:val="00AA24D3"/>
    <w:rsid w:val="00AA24E2"/>
    <w:rsid w:val="00AA5F79"/>
    <w:rsid w:val="00AB3B39"/>
    <w:rsid w:val="00AB4181"/>
    <w:rsid w:val="00AC0557"/>
    <w:rsid w:val="00AD048F"/>
    <w:rsid w:val="00AE727E"/>
    <w:rsid w:val="00AF38F7"/>
    <w:rsid w:val="00B0472B"/>
    <w:rsid w:val="00B0534C"/>
    <w:rsid w:val="00B068D4"/>
    <w:rsid w:val="00B103A4"/>
    <w:rsid w:val="00B11E0A"/>
    <w:rsid w:val="00B15213"/>
    <w:rsid w:val="00B30891"/>
    <w:rsid w:val="00B354E5"/>
    <w:rsid w:val="00B35D6B"/>
    <w:rsid w:val="00B37409"/>
    <w:rsid w:val="00B43F0C"/>
    <w:rsid w:val="00B50A80"/>
    <w:rsid w:val="00B52766"/>
    <w:rsid w:val="00B57811"/>
    <w:rsid w:val="00B602D2"/>
    <w:rsid w:val="00B64384"/>
    <w:rsid w:val="00B75CF2"/>
    <w:rsid w:val="00B8033C"/>
    <w:rsid w:val="00B85273"/>
    <w:rsid w:val="00B90D5E"/>
    <w:rsid w:val="00BB02EC"/>
    <w:rsid w:val="00BB343D"/>
    <w:rsid w:val="00BB399B"/>
    <w:rsid w:val="00BC1396"/>
    <w:rsid w:val="00BC3A86"/>
    <w:rsid w:val="00BC4347"/>
    <w:rsid w:val="00BC52A1"/>
    <w:rsid w:val="00BD465A"/>
    <w:rsid w:val="00BE0715"/>
    <w:rsid w:val="00BE7BA2"/>
    <w:rsid w:val="00BF2720"/>
    <w:rsid w:val="00BF6376"/>
    <w:rsid w:val="00BF6D80"/>
    <w:rsid w:val="00BF79EC"/>
    <w:rsid w:val="00C15615"/>
    <w:rsid w:val="00C21161"/>
    <w:rsid w:val="00C21C05"/>
    <w:rsid w:val="00C25EA1"/>
    <w:rsid w:val="00C30FEF"/>
    <w:rsid w:val="00C313EF"/>
    <w:rsid w:val="00C341E6"/>
    <w:rsid w:val="00C356FD"/>
    <w:rsid w:val="00C37B1D"/>
    <w:rsid w:val="00C44B57"/>
    <w:rsid w:val="00C512A9"/>
    <w:rsid w:val="00C6162B"/>
    <w:rsid w:val="00C62699"/>
    <w:rsid w:val="00C628A3"/>
    <w:rsid w:val="00C75E29"/>
    <w:rsid w:val="00C904CF"/>
    <w:rsid w:val="00C9630D"/>
    <w:rsid w:val="00CA2768"/>
    <w:rsid w:val="00CA3460"/>
    <w:rsid w:val="00CA7520"/>
    <w:rsid w:val="00CB5205"/>
    <w:rsid w:val="00CC14C0"/>
    <w:rsid w:val="00CC160A"/>
    <w:rsid w:val="00CC38E4"/>
    <w:rsid w:val="00CD0FD6"/>
    <w:rsid w:val="00CD383D"/>
    <w:rsid w:val="00CD681B"/>
    <w:rsid w:val="00CE265C"/>
    <w:rsid w:val="00CE4A48"/>
    <w:rsid w:val="00CF6231"/>
    <w:rsid w:val="00D005C4"/>
    <w:rsid w:val="00D040B7"/>
    <w:rsid w:val="00D07FB6"/>
    <w:rsid w:val="00D11FD8"/>
    <w:rsid w:val="00D17AD9"/>
    <w:rsid w:val="00D26916"/>
    <w:rsid w:val="00D37D52"/>
    <w:rsid w:val="00D46AC2"/>
    <w:rsid w:val="00D531F9"/>
    <w:rsid w:val="00D540ED"/>
    <w:rsid w:val="00D54465"/>
    <w:rsid w:val="00D54AB0"/>
    <w:rsid w:val="00D56881"/>
    <w:rsid w:val="00D65EB6"/>
    <w:rsid w:val="00D67C99"/>
    <w:rsid w:val="00D76296"/>
    <w:rsid w:val="00D84568"/>
    <w:rsid w:val="00D86224"/>
    <w:rsid w:val="00D91C16"/>
    <w:rsid w:val="00D94CD9"/>
    <w:rsid w:val="00DA1489"/>
    <w:rsid w:val="00DA156B"/>
    <w:rsid w:val="00DA38AB"/>
    <w:rsid w:val="00DA6717"/>
    <w:rsid w:val="00DB0288"/>
    <w:rsid w:val="00DB143B"/>
    <w:rsid w:val="00DB2310"/>
    <w:rsid w:val="00DB5DC3"/>
    <w:rsid w:val="00DB6E79"/>
    <w:rsid w:val="00DC3533"/>
    <w:rsid w:val="00DC4B0F"/>
    <w:rsid w:val="00DC4C29"/>
    <w:rsid w:val="00DC6066"/>
    <w:rsid w:val="00DC6559"/>
    <w:rsid w:val="00DD18AB"/>
    <w:rsid w:val="00DD34A3"/>
    <w:rsid w:val="00DD6AD4"/>
    <w:rsid w:val="00DD6CA3"/>
    <w:rsid w:val="00DD7F3E"/>
    <w:rsid w:val="00DF2147"/>
    <w:rsid w:val="00DF2F2E"/>
    <w:rsid w:val="00DF64BC"/>
    <w:rsid w:val="00DF70CE"/>
    <w:rsid w:val="00E11080"/>
    <w:rsid w:val="00E11C89"/>
    <w:rsid w:val="00E31047"/>
    <w:rsid w:val="00E33F6C"/>
    <w:rsid w:val="00E36296"/>
    <w:rsid w:val="00E37E75"/>
    <w:rsid w:val="00E4058F"/>
    <w:rsid w:val="00E47E19"/>
    <w:rsid w:val="00E500D6"/>
    <w:rsid w:val="00E5288C"/>
    <w:rsid w:val="00E539C8"/>
    <w:rsid w:val="00E57BA7"/>
    <w:rsid w:val="00E600FB"/>
    <w:rsid w:val="00E654FD"/>
    <w:rsid w:val="00E6661C"/>
    <w:rsid w:val="00E670F1"/>
    <w:rsid w:val="00E70010"/>
    <w:rsid w:val="00E74F98"/>
    <w:rsid w:val="00E81535"/>
    <w:rsid w:val="00E81DE2"/>
    <w:rsid w:val="00E90052"/>
    <w:rsid w:val="00E97470"/>
    <w:rsid w:val="00EA44DD"/>
    <w:rsid w:val="00EA6374"/>
    <w:rsid w:val="00EB2BC4"/>
    <w:rsid w:val="00EB50E2"/>
    <w:rsid w:val="00EB50F7"/>
    <w:rsid w:val="00EC05E3"/>
    <w:rsid w:val="00ED47C1"/>
    <w:rsid w:val="00EF41E8"/>
    <w:rsid w:val="00EF6F55"/>
    <w:rsid w:val="00F02295"/>
    <w:rsid w:val="00F0380B"/>
    <w:rsid w:val="00F07E57"/>
    <w:rsid w:val="00F20235"/>
    <w:rsid w:val="00F20431"/>
    <w:rsid w:val="00F21B2C"/>
    <w:rsid w:val="00F24C86"/>
    <w:rsid w:val="00F30694"/>
    <w:rsid w:val="00F31942"/>
    <w:rsid w:val="00F31A08"/>
    <w:rsid w:val="00F33892"/>
    <w:rsid w:val="00F40EC3"/>
    <w:rsid w:val="00F429C1"/>
    <w:rsid w:val="00F46CB9"/>
    <w:rsid w:val="00F500EA"/>
    <w:rsid w:val="00F54B61"/>
    <w:rsid w:val="00F636BC"/>
    <w:rsid w:val="00F661CA"/>
    <w:rsid w:val="00F6663E"/>
    <w:rsid w:val="00F71092"/>
    <w:rsid w:val="00F71120"/>
    <w:rsid w:val="00F83022"/>
    <w:rsid w:val="00F931C8"/>
    <w:rsid w:val="00F95BD2"/>
    <w:rsid w:val="00FA0963"/>
    <w:rsid w:val="00FB07F3"/>
    <w:rsid w:val="00FB21DE"/>
    <w:rsid w:val="00FC1697"/>
    <w:rsid w:val="00FC6439"/>
    <w:rsid w:val="00FC6BA8"/>
    <w:rsid w:val="00FE1530"/>
    <w:rsid w:val="00FE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7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83D"/>
  </w:style>
  <w:style w:type="paragraph" w:styleId="a9">
    <w:name w:val="footer"/>
    <w:basedOn w:val="a"/>
    <w:link w:val="aa"/>
    <w:uiPriority w:val="99"/>
    <w:semiHidden/>
    <w:unhideWhenUsed/>
    <w:rsid w:val="00CD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83D"/>
  </w:style>
  <w:style w:type="character" w:styleId="ab">
    <w:name w:val="Placeholder Text"/>
    <w:basedOn w:val="a0"/>
    <w:uiPriority w:val="99"/>
    <w:semiHidden/>
    <w:rsid w:val="00F83022"/>
    <w:rPr>
      <w:color w:val="808080"/>
    </w:rPr>
  </w:style>
  <w:style w:type="paragraph" w:styleId="ac">
    <w:name w:val="footnote text"/>
    <w:basedOn w:val="a"/>
    <w:link w:val="ad"/>
    <w:uiPriority w:val="99"/>
    <w:semiHidden/>
    <w:unhideWhenUsed/>
    <w:rsid w:val="00197F9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7F9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7F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ownloads\&#1058;&#1086;&#1073;&#1086;&#1083;&#1100;&#1089;&#1082;%20&#1086;&#1073;&#1079;&#1086;&#1088;%20&#1074;&#1090;&#1086;&#1088;&#1080;&#1095;&#1082;&#1072;%20&#1044;&#1077;&#1082;&#1072;&#1073;&#1088;&#1100;%202014&#1075;%20(&#1040;&#1074;&#1090;&#1086;&#1089;&#1086;&#1093;&#1088;&#1072;&#1085;&#1077;&#1085;&#1085;&#1099;&#1081;)%20(3)%20(2).xls" TargetMode="External"/><Relationship Id="rId1" Type="http://schemas.openxmlformats.org/officeDocument/2006/relationships/image" Target="../media/image2.jpeg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C:\Users\a.f.spicheva\Downloads\&#1057;&#1091;&#1088;&#1075;&#1091;&#1090;%20&#1086;&#1073;&#1079;&#1086;&#1088;%20&#1074;&#1090;&#1086;&#1088;&#1080;&#1095;&#1082;&#1072;%20&#1103;&#1085;&#1074;&#1072;&#1088;&#1100;%202015&#1075;.xlsx" TargetMode="External"/><Relationship Id="rId1" Type="http://schemas.openxmlformats.org/officeDocument/2006/relationships/image" Target="../media/image2.jpeg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.f.spicheva\Desktop\&#1057;&#1091;&#1088;&#1075;&#1091;&#1090;%20&#1086;&#1073;&#1079;&#1086;&#1088;%20&#1074;&#1090;&#1086;&#1088;&#1080;&#1095;&#1082;&#1072;%20&#1103;&#1085;&#1074;&#1072;&#1088;&#1100;%202015&#1075;%20&#1076;&#1083;&#1103;%20&#1090;&#1086;&#1073;.xlsx" TargetMode="External"/><Relationship Id="rId1" Type="http://schemas.openxmlformats.org/officeDocument/2006/relationships/image" Target="../media/image2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ownloads\&#1058;&#1086;&#1073;&#1086;&#1083;&#1100;&#1089;&#1082;%20&#1086;&#1073;&#1079;&#1086;&#1088;%20&#1074;&#1090;&#1086;&#1088;&#1080;&#1095;&#1082;&#1072;%20&#1044;&#1077;&#1082;&#1072;&#1073;&#1088;&#1100;%202014&#1075;%20(&#1040;&#1074;&#1090;&#1086;&#1089;&#1086;&#1093;&#1088;&#1072;&#1085;&#1077;&#1085;&#1085;&#1099;&#1081;)%20(3)%20(2).xls" TargetMode="External"/><Relationship Id="rId1" Type="http://schemas.openxmlformats.org/officeDocument/2006/relationships/image" Target="../media/image2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ownloads\&#1058;&#1086;&#1073;&#1086;&#1083;&#1100;&#1089;&#1082;%20&#1086;&#1073;&#1079;&#1086;&#1088;%20&#1074;&#1090;&#1086;&#1088;&#1080;&#1095;&#1082;&#1072;%20&#1044;&#1077;&#1082;&#1072;&#1073;&#1088;&#1100;%202014&#1075;%20(&#1040;&#1074;&#1090;&#1086;&#1089;&#1086;&#1093;&#1088;&#1072;&#1085;&#1077;&#1085;&#1085;&#1099;&#1081;)%20(3)%20(2).xls" TargetMode="External"/><Relationship Id="rId1" Type="http://schemas.openxmlformats.org/officeDocument/2006/relationships/image" Target="../media/image2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ownloads\&#1058;&#1086;&#1073;&#1086;&#1083;&#1100;&#1089;&#1082;%20&#1086;&#1073;&#1079;&#1086;&#1088;%20&#1074;&#1090;&#1086;&#1088;&#1080;&#1095;&#1082;&#1072;%20&#1044;&#1077;&#1082;&#1072;&#1073;&#1088;&#1100;%202014&#1075;%20(&#1040;&#1074;&#1090;&#1086;&#1089;&#1086;&#1093;&#1088;&#1072;&#1085;&#1077;&#1085;&#1085;&#1099;&#1081;)%20(3)%20(2).xls" TargetMode="External"/><Relationship Id="rId1" Type="http://schemas.openxmlformats.org/officeDocument/2006/relationships/image" Target="../media/image2.jpeg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ownloads\&#1058;&#1086;&#1073;&#1086;&#1083;&#1100;&#1089;&#1082;%20&#1086;&#1073;&#1079;&#1086;&#1088;%20&#1074;&#1090;&#1086;&#1088;&#1080;&#1095;&#1082;&#1072;%20&#1044;&#1077;&#1082;&#1072;&#1073;&#1088;&#1100;%202014&#1075;%20(&#1040;&#1074;&#1090;&#1086;&#1089;&#1086;&#1093;&#1088;&#1072;&#1085;&#1077;&#1085;&#1085;&#1099;&#1081;)%20(3)%20(2).xls" TargetMode="External"/><Relationship Id="rId1" Type="http://schemas.openxmlformats.org/officeDocument/2006/relationships/image" Target="../media/image2.jpeg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share.etagi.local\documents$\&#1054;&#1092;&#1080;&#1089;%20&#1050;&#1086;&#1088;&#1086;&#1085;&#1072;\&#1054;&#1090;&#1076;&#1077;&#1083;%20&#1072;&#1085;&#1072;&#1083;&#1080;&#1090;&#1080;&#1082;&#1080;\&#1054;&#1073;&#1079;&#1086;&#1088;&#1099;\&#1058;&#1086;&#1073;&#1086;&#1083;&#1100;&#1089;&#1082;\&#1042;&#1090;&#1086;&#1088;&#1080;&#1095;&#1082;&#1072;\2014\&#1044;&#1077;&#1082;&#1072;&#1073;&#1088;&#1100;%202014\&#1058;&#1086;&#1073;&#1086;&#1083;&#1100;&#1089;&#1082;%20&#1086;&#1073;&#1079;&#1086;&#1088;%20&#1074;&#1090;&#1086;&#1088;&#1080;&#1095;&#1082;&#1072;%20&#1044;&#1077;&#1082;&#1072;&#1073;&#1088;&#1100;%202014&#1075;%20(&#1040;&#1074;&#1090;&#1086;&#1089;&#1086;&#1093;&#1088;&#1072;&#1085;&#1077;&#1085;&#1085;&#1099;&#1081;)%20(3).xls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Users\a.f.spicheva\Desktop\&#1057;&#1091;&#1088;&#1075;&#1091;&#1090;%20&#1086;&#1073;&#1079;&#1086;&#1088;%20&#1074;&#1090;&#1086;&#1088;&#1080;&#1095;&#1082;&#1072;%20&#1103;&#1085;&#1074;&#1072;&#1088;&#1100;%202015&#1075;%20&#1076;&#1083;&#1103;%20&#1090;&#1086;&#1073;.xlsx" TargetMode="External"/><Relationship Id="rId1" Type="http://schemas.openxmlformats.org/officeDocument/2006/relationships/image" Target="../media/image2.jpeg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C:\Users\a.f.spicheva\Desktop\&#1057;&#1091;&#1088;&#1075;&#1091;&#1090;%20&#1086;&#1073;&#1079;&#1086;&#1088;%20&#1074;&#1090;&#1086;&#1088;&#1080;&#1095;&#1082;&#1072;%20&#1103;&#1085;&#1074;&#1072;&#1088;&#1100;%202015&#1075;%20&#1076;&#1083;&#1103;%20&#1090;&#1086;&#1073;.xlsx" TargetMode="External"/><Relationship Id="rId1" Type="http://schemas.openxmlformats.org/officeDocument/2006/relationships/image" Target="../media/image2.jpeg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.f.spicheva\Desktop\&#1057;&#1091;&#1088;&#1075;&#1091;&#1090;%20&#1086;&#1073;&#1079;&#1086;&#1088;%20&#1074;&#1090;&#1086;&#1088;&#1080;&#1095;&#1082;&#1072;%20&#1103;&#1085;&#1074;&#1072;&#1088;&#1100;%202015&#1075;%20&#1076;&#1083;&#1103;%20&#1090;&#1086;&#1073;.xlsx" TargetMode="External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0"/>
  <c:chart>
    <c:title>
      <c:tx>
        <c:rich>
          <a:bodyPr/>
          <a:lstStyle/>
          <a:p>
            <a:pPr>
              <a:defRPr sz="96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Структура предложения на вторичном рынке жилой недвижимости по размерам квартир г.Тобольск</a:t>
            </a:r>
          </a:p>
        </c:rich>
      </c:tx>
      <c:layout/>
    </c:title>
    <c:plotArea>
      <c:layout/>
      <c:doughnutChart>
        <c:varyColors val="1"/>
        <c:ser>
          <c:idx val="0"/>
          <c:order val="0"/>
          <c:spPr>
            <a:ln>
              <a:solidFill>
                <a:schemeClr val="bg1"/>
              </a:solidFill>
            </a:ln>
            <a:effectLst>
              <a:outerShdw blurRad="431800" dist="23000" dir="5400000" rotWithShape="0">
                <a:srgbClr val="000000">
                  <a:alpha val="35000"/>
                </a:srgbClr>
              </a:outerShdw>
            </a:effectLst>
          </c:spPr>
          <c:dLbls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CatName val="1"/>
            <c:showPercent val="1"/>
          </c:dLbls>
          <c:cat>
            <c:strRef>
              <c:f>анализ!$R$15:$R$18</c:f>
              <c:strCache>
                <c:ptCount val="4"/>
                <c:pt idx="0">
                  <c:v>1-комн.</c:v>
                </c:pt>
                <c:pt idx="1">
                  <c:v>2-комн.</c:v>
                </c:pt>
                <c:pt idx="2">
                  <c:v>3-комн.</c:v>
                </c:pt>
                <c:pt idx="3">
                  <c:v>многокомн.</c:v>
                </c:pt>
              </c:strCache>
            </c:strRef>
          </c:cat>
          <c:val>
            <c:numRef>
              <c:f>анализ!$T$15:$T$18</c:f>
              <c:numCache>
                <c:formatCode>0.00</c:formatCode>
                <c:ptCount val="4"/>
                <c:pt idx="0">
                  <c:v>21.587492483463613</c:v>
                </c:pt>
                <c:pt idx="1">
                  <c:v>33.193024654239316</c:v>
                </c:pt>
                <c:pt idx="2">
                  <c:v>28.86349969933854</c:v>
                </c:pt>
                <c:pt idx="3">
                  <c:v>16.355983162958523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  <c:spPr>
        <a:blipFill dpi="0" rotWithShape="1">
          <a:blip xmlns:r="http://schemas.openxmlformats.org/officeDocument/2006/relationships" r:embed="rId1">
            <a:alphaModFix amt="50000"/>
          </a:blip>
          <a:srcRect/>
          <a:stretch>
            <a:fillRect l="29000" t="46000" r="29000" b="45000"/>
          </a:stretch>
        </a:blipFill>
      </c:spPr>
    </c:plotArea>
    <c:plotVisOnly val="1"/>
    <c:dispBlanksAs val="zero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Динамика удельной цены продаж на вторичном рынке жилой недвижимости г.Тобольск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0501148604061562"/>
          <c:y val="0.17905390539053906"/>
          <c:w val="0.81268654272658269"/>
          <c:h val="0.62474675814038882"/>
        </c:manualLayout>
      </c:layout>
      <c:barChart>
        <c:barDir val="col"/>
        <c:grouping val="stacked"/>
        <c:ser>
          <c:idx val="1"/>
          <c:order val="1"/>
          <c:tx>
            <c:strRef>
              <c:f>анализ!$N$258</c:f>
              <c:strCache>
                <c:ptCount val="1"/>
                <c:pt idx="0">
                  <c:v>прирост к предыдущему месяцу, %</c:v>
                </c:pt>
              </c:strCache>
            </c:strRef>
          </c:tx>
          <c:spPr>
            <a:ln>
              <a:solidFill>
                <a:schemeClr val="tx1"/>
              </a:solidFill>
              <a:round/>
            </a:ln>
            <a:effectLst>
              <a:outerShdw blurRad="241300" dist="50800" dir="5400000" algn="ctr" rotWithShape="0">
                <a:srgbClr val="000000">
                  <a:alpha val="83000"/>
                </a:srgbClr>
              </a:outerShdw>
            </a:effectLst>
          </c:spPr>
          <c:dLbls>
            <c:dLbl>
              <c:idx val="0"/>
              <c:delete val="1"/>
            </c:dLbl>
            <c:dLbl>
              <c:idx val="1"/>
              <c:layout>
                <c:manualLayout>
                  <c:x val="0"/>
                  <c:y val="-1.3937277131598539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9.7560939921190526E-2"/>
                </c:manualLayout>
              </c:layout>
              <c:showVal val="1"/>
            </c:dLbl>
            <c:dLbl>
              <c:idx val="5"/>
              <c:layout>
                <c:manualLayout>
                  <c:x val="3.1777427821522556E-3"/>
                  <c:y val="-2.7873822647600108E-2"/>
                </c:manualLayout>
              </c:layout>
              <c:showVal val="1"/>
            </c:dLbl>
            <c:dLbl>
              <c:idx val="6"/>
              <c:layout>
                <c:manualLayout>
                  <c:x val="-2.6507620941020552E-3"/>
                  <c:y val="-0.1207897351405214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анализ!$P$256:$AA$256</c:f>
              <c:numCache>
                <c:formatCode>mmm/yy</c:formatCode>
                <c:ptCount val="12"/>
                <c:pt idx="0">
                  <c:v>41671</c:v>
                </c:pt>
                <c:pt idx="1">
                  <c:v>41699</c:v>
                </c:pt>
                <c:pt idx="2">
                  <c:v>41730</c:v>
                </c:pt>
                <c:pt idx="3">
                  <c:v>41760</c:v>
                </c:pt>
                <c:pt idx="4">
                  <c:v>41791</c:v>
                </c:pt>
                <c:pt idx="5">
                  <c:v>41821</c:v>
                </c:pt>
                <c:pt idx="6">
                  <c:v>41852</c:v>
                </c:pt>
                <c:pt idx="7">
                  <c:v>41883</c:v>
                </c:pt>
                <c:pt idx="8">
                  <c:v>41913</c:v>
                </c:pt>
                <c:pt idx="9">
                  <c:v>41944</c:v>
                </c:pt>
                <c:pt idx="10">
                  <c:v>41974</c:v>
                </c:pt>
                <c:pt idx="11">
                  <c:v>42005</c:v>
                </c:pt>
              </c:numCache>
            </c:numRef>
          </c:cat>
          <c:val>
            <c:numRef>
              <c:f>анализ!$P$258:$AA$258</c:f>
              <c:numCache>
                <c:formatCode>0.00</c:formatCode>
                <c:ptCount val="12"/>
                <c:pt idx="0">
                  <c:v>0</c:v>
                </c:pt>
                <c:pt idx="1">
                  <c:v>-1.9694565648552209</c:v>
                </c:pt>
                <c:pt idx="2">
                  <c:v>-0.55637606975944554</c:v>
                </c:pt>
                <c:pt idx="3">
                  <c:v>1.544189453125</c:v>
                </c:pt>
                <c:pt idx="4">
                  <c:v>-3.1055278395544117</c:v>
                </c:pt>
                <c:pt idx="5">
                  <c:v>-0.60172453009657012</c:v>
                </c:pt>
                <c:pt idx="6">
                  <c:v>1.439567297690858</c:v>
                </c:pt>
                <c:pt idx="7">
                  <c:v>-4.3989171896148598</c:v>
                </c:pt>
                <c:pt idx="8">
                  <c:v>-1.6281614003475164</c:v>
                </c:pt>
                <c:pt idx="9">
                  <c:v>-3.4214313751144809</c:v>
                </c:pt>
                <c:pt idx="10">
                  <c:v>2.1314547630337133</c:v>
                </c:pt>
                <c:pt idx="11">
                  <c:v>0.70081577609266699</c:v>
                </c:pt>
              </c:numCache>
            </c:numRef>
          </c:val>
        </c:ser>
        <c:axId val="84109184"/>
        <c:axId val="84107648"/>
      </c:barChart>
      <c:lineChart>
        <c:grouping val="standard"/>
        <c:ser>
          <c:idx val="0"/>
          <c:order val="0"/>
          <c:tx>
            <c:strRef>
              <c:f>анализ!$N$257</c:f>
              <c:strCache>
                <c:ptCount val="1"/>
                <c:pt idx="0">
                  <c:v>удельная цена продажи, руб./кв.м.</c:v>
                </c:pt>
              </c:strCache>
            </c:strRef>
          </c:tx>
          <c:spPr>
            <a:ln w="28575">
              <a:prstDash val="sysDash"/>
            </a:ln>
          </c:spPr>
          <c:marker>
            <c:symbol val="circle"/>
            <c:size val="7"/>
            <c:spPr>
              <a:ln>
                <a:gradFill>
                  <a:gsLst>
                    <a:gs pos="0">
                      <a:schemeClr val="accent1">
                        <a:tint val="66000"/>
                        <a:satMod val="160000"/>
                      </a:schemeClr>
                    </a:gs>
                    <a:gs pos="50000">
                      <a:schemeClr val="accent1">
                        <a:tint val="44500"/>
                        <a:satMod val="160000"/>
                      </a:schemeClr>
                    </a:gs>
                    <a:gs pos="100000">
                      <a:schemeClr val="accent1">
                        <a:tint val="23500"/>
                        <a:satMod val="160000"/>
                      </a:schemeClr>
                    </a:gs>
                  </a:gsLst>
                  <a:lin ang="5400000" scaled="0"/>
                </a:gradFill>
              </a:ln>
            </c:spPr>
          </c:marker>
          <c:dLbls>
            <c:dLbl>
              <c:idx val="0"/>
              <c:layout>
                <c:manualLayout>
                  <c:x val="-2.8933092224231471E-2"/>
                  <c:y val="-5.1103349482528287E-2"/>
                </c:manualLayout>
              </c:layout>
              <c:showVal val="1"/>
            </c:dLbl>
            <c:dLbl>
              <c:idx val="1"/>
              <c:layout>
                <c:manualLayout>
                  <c:x val="-3.3755274261603352E-2"/>
                  <c:y val="-6.0394867570260712E-2"/>
                </c:manualLayout>
              </c:layout>
              <c:showVal val="1"/>
            </c:dLbl>
            <c:dLbl>
              <c:idx val="2"/>
              <c:layout>
                <c:manualLayout>
                  <c:x val="-5.0632911392405132E-2"/>
                  <c:y val="-5.5749108526394267E-2"/>
                </c:manualLayout>
              </c:layout>
              <c:showVal val="1"/>
            </c:dLbl>
            <c:dLbl>
              <c:idx val="3"/>
              <c:layout>
                <c:manualLayout>
                  <c:x val="-2.4110910186859652E-2"/>
                  <c:y val="-6.9686385657993122E-2"/>
                </c:manualLayout>
              </c:layout>
              <c:showVal val="1"/>
            </c:dLbl>
            <c:dLbl>
              <c:idx val="4"/>
              <c:layout>
                <c:manualLayout>
                  <c:x val="-2.1699819168174123E-2"/>
                  <c:y val="-6.9686385657993122E-2"/>
                </c:manualLayout>
              </c:layout>
              <c:showVal val="1"/>
            </c:dLbl>
            <c:dLbl>
              <c:idx val="5"/>
              <c:layout>
                <c:manualLayout>
                  <c:x val="-2.1699819168174053E-2"/>
                  <c:y val="-4.181183139479587E-2"/>
                </c:manualLayout>
              </c:layout>
              <c:showVal val="1"/>
            </c:dLbl>
            <c:dLbl>
              <c:idx val="6"/>
              <c:layout>
                <c:manualLayout>
                  <c:x val="-4.4273571171396832E-2"/>
                  <c:y val="-5.5749108526394267E-2"/>
                </c:manualLayout>
              </c:layout>
              <c:showVal val="1"/>
            </c:dLbl>
            <c:dLbl>
              <c:idx val="7"/>
              <c:layout>
                <c:manualLayout>
                  <c:x val="-4.4036697247707E-2"/>
                  <c:y val="-5.1103349482528287E-2"/>
                </c:manualLayout>
              </c:layout>
              <c:showVal val="1"/>
            </c:dLbl>
            <c:dLbl>
              <c:idx val="8"/>
              <c:layout>
                <c:manualLayout>
                  <c:x val="-4.4036697247706522E-2"/>
                  <c:y val="-4.181183139479587E-2"/>
                </c:manualLayout>
              </c:layout>
              <c:showVal val="1"/>
            </c:dLbl>
            <c:dLbl>
              <c:idx val="9"/>
              <c:layout>
                <c:manualLayout>
                  <c:x val="-5.1376146788990773E-2"/>
                  <c:y val="-4.181183139479587E-2"/>
                </c:manualLayout>
              </c:layout>
              <c:showVal val="1"/>
            </c:dLbl>
            <c:dLbl>
              <c:idx val="10"/>
              <c:layout>
                <c:manualLayout>
                  <c:x val="-4.8929663608562685E-2"/>
                  <c:y val="-3.2520313307063495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анализ!$P$256:$AA$256</c:f>
              <c:numCache>
                <c:formatCode>mmm/yy</c:formatCode>
                <c:ptCount val="12"/>
                <c:pt idx="0">
                  <c:v>41671</c:v>
                </c:pt>
                <c:pt idx="1">
                  <c:v>41699</c:v>
                </c:pt>
                <c:pt idx="2">
                  <c:v>41730</c:v>
                </c:pt>
                <c:pt idx="3">
                  <c:v>41760</c:v>
                </c:pt>
                <c:pt idx="4">
                  <c:v>41791</c:v>
                </c:pt>
                <c:pt idx="5">
                  <c:v>41821</c:v>
                </c:pt>
                <c:pt idx="6">
                  <c:v>41852</c:v>
                </c:pt>
                <c:pt idx="7">
                  <c:v>41883</c:v>
                </c:pt>
                <c:pt idx="8">
                  <c:v>41913</c:v>
                </c:pt>
                <c:pt idx="9">
                  <c:v>41944</c:v>
                </c:pt>
                <c:pt idx="10">
                  <c:v>41974</c:v>
                </c:pt>
                <c:pt idx="11">
                  <c:v>42005</c:v>
                </c:pt>
              </c:numCache>
            </c:numRef>
          </c:cat>
          <c:val>
            <c:numRef>
              <c:f>анализ!$P$257:$AA$257</c:f>
              <c:numCache>
                <c:formatCode>General</c:formatCode>
                <c:ptCount val="12"/>
                <c:pt idx="0">
                  <c:v>50420</c:v>
                </c:pt>
                <c:pt idx="1">
                  <c:v>49427</c:v>
                </c:pt>
                <c:pt idx="2">
                  <c:v>49152</c:v>
                </c:pt>
                <c:pt idx="3">
                  <c:v>49911</c:v>
                </c:pt>
                <c:pt idx="4">
                  <c:v>48361</c:v>
                </c:pt>
                <c:pt idx="5">
                  <c:v>48070</c:v>
                </c:pt>
                <c:pt idx="6">
                  <c:v>48762</c:v>
                </c:pt>
                <c:pt idx="7">
                  <c:v>46617</c:v>
                </c:pt>
                <c:pt idx="8">
                  <c:v>45858</c:v>
                </c:pt>
                <c:pt idx="9">
                  <c:v>44289</c:v>
                </c:pt>
                <c:pt idx="10">
                  <c:v>45233</c:v>
                </c:pt>
                <c:pt idx="11">
                  <c:v>45550</c:v>
                </c:pt>
              </c:numCache>
            </c:numRef>
          </c:val>
          <c:smooth val="1"/>
        </c:ser>
        <c:marker val="1"/>
        <c:axId val="100305536"/>
        <c:axId val="100304000"/>
      </c:lineChart>
      <c:valAx>
        <c:axId val="100304000"/>
        <c:scaling>
          <c:orientation val="minMax"/>
          <c:max val="100000"/>
          <c:min val="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0305536"/>
        <c:crosses val="autoZero"/>
        <c:crossBetween val="between"/>
      </c:valAx>
      <c:dateAx>
        <c:axId val="100305536"/>
        <c:scaling>
          <c:orientation val="minMax"/>
        </c:scaling>
        <c:axPos val="b"/>
        <c:numFmt formatCode="mmm/yy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0304000"/>
        <c:crosses val="autoZero"/>
        <c:auto val="1"/>
        <c:lblOffset val="100"/>
        <c:majorUnit val="1"/>
        <c:minorUnit val="1"/>
      </c:dateAx>
      <c:valAx>
        <c:axId val="84107648"/>
        <c:scaling>
          <c:orientation val="minMax"/>
          <c:max val="5"/>
        </c:scaling>
        <c:axPos val="r"/>
        <c:numFmt formatCode="0.00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4109184"/>
        <c:crosses val="max"/>
        <c:crossBetween val="between"/>
        <c:minorUnit val="4.0000000000000022E-2"/>
      </c:valAx>
      <c:dateAx>
        <c:axId val="84109184"/>
        <c:scaling>
          <c:orientation val="minMax"/>
        </c:scaling>
        <c:delete val="1"/>
        <c:axPos val="b"/>
        <c:numFmt formatCode="mmm/yy" sourceLinked="1"/>
        <c:tickLblPos val="none"/>
        <c:crossAx val="84107648"/>
        <c:crosses val="autoZero"/>
        <c:auto val="1"/>
        <c:lblOffset val="100"/>
        <c:majorUnit val="1"/>
        <c:minorUnit val="1"/>
      </c:dateAx>
      <c:spPr>
        <a:blipFill dpi="0" rotWithShape="1">
          <a:blip xmlns:r="http://schemas.openxmlformats.org/officeDocument/2006/relationships" r:embed="rId1">
            <a:alphaModFix amt="50000"/>
          </a:blip>
          <a:srcRect/>
          <a:stretch>
            <a:fillRect l="22000" t="39000" r="25000" b="37000"/>
          </a:stretch>
        </a:blipFill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/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2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Структура продаж на вторичном рынке жилой недвижимости по размерам квартир г.Тобольск</a:t>
            </a:r>
          </a:p>
        </c:rich>
      </c:tx>
      <c:layout/>
    </c:title>
    <c:plotArea>
      <c:layout/>
      <c:doughnutChart>
        <c:varyColors val="1"/>
        <c:ser>
          <c:idx val="0"/>
          <c:order val="0"/>
          <c:dLbls>
            <c:dLbl>
              <c:idx val="0"/>
              <c:layout>
                <c:manualLayout>
                  <c:x val="2.7777777777778664E-3"/>
                  <c:y val="6.481481481481617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1-комнатные
67%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3.747586414541079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3-комнатные
6%</a:t>
                    </a:r>
                  </a:p>
                </c:rich>
              </c:tx>
              <c:showCatName val="1"/>
              <c:showPercent val="1"/>
            </c:dLbl>
            <c:dLbl>
              <c:idx val="3"/>
              <c:delete val="1"/>
            </c:dLbl>
            <c:showCatName val="1"/>
            <c:showPercent val="1"/>
            <c:showLeaderLines val="1"/>
          </c:dLbls>
          <c:cat>
            <c:strRef>
              <c:f>анализ!$R$186:$R$189</c:f>
              <c:strCache>
                <c:ptCount val="4"/>
                <c:pt idx="0">
                  <c:v>1-комнатные</c:v>
                </c:pt>
                <c:pt idx="1">
                  <c:v>2-комнатные</c:v>
                </c:pt>
                <c:pt idx="2">
                  <c:v>3-комнатные</c:v>
                </c:pt>
                <c:pt idx="3">
                  <c:v>многокомнатные</c:v>
                </c:pt>
              </c:strCache>
            </c:strRef>
          </c:cat>
          <c:val>
            <c:numRef>
              <c:f>анализ!$T$186:$T$189</c:f>
              <c:numCache>
                <c:formatCode>0.00</c:formatCode>
                <c:ptCount val="4"/>
                <c:pt idx="0">
                  <c:v>66.666666666666657</c:v>
                </c:pt>
                <c:pt idx="1">
                  <c:v>26.666666666666668</c:v>
                </c:pt>
                <c:pt idx="2">
                  <c:v>6.666666666666667</c:v>
                </c:pt>
                <c:pt idx="3">
                  <c:v>0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  <c:spPr>
        <a:blipFill dpi="0" rotWithShape="1">
          <a:blip xmlns:r="http://schemas.openxmlformats.org/officeDocument/2006/relationships" r:embed="rId1">
            <a:alphaModFix amt="50000"/>
          </a:blip>
          <a:srcRect/>
          <a:stretch>
            <a:fillRect l="27000" t="47000" r="28000" b="44000"/>
          </a:stretch>
        </a:blipFill>
      </c:spPr>
    </c:plotArea>
    <c:plotVisOnly val="1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0"/>
  <c:chart>
    <c:title>
      <c:tx>
        <c:rich>
          <a:bodyPr/>
          <a:lstStyle/>
          <a:p>
            <a:pPr>
              <a:defRPr sz="96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Структура предложения на вторичном рынке жилой недвижимости по типу домостроения г.Тобольск</a:t>
            </a:r>
          </a:p>
        </c:rich>
      </c:tx>
      <c:layout/>
    </c:title>
    <c:plotArea>
      <c:layout/>
      <c:doughnutChart>
        <c:varyColors val="1"/>
        <c:ser>
          <c:idx val="0"/>
          <c:order val="0"/>
          <c:spPr>
            <a:ln>
              <a:solidFill>
                <a:sysClr val="window" lastClr="FFFFFF"/>
              </a:solidFill>
            </a:ln>
            <a:effectLst>
              <a:outerShdw blurRad="317500" dist="23000" dir="5400000" rotWithShape="0">
                <a:srgbClr val="000000">
                  <a:alpha val="35000"/>
                </a:srgbClr>
              </a:outerShdw>
            </a:effectLst>
          </c:spPr>
          <c:dLbls>
            <c:dLbl>
              <c:idx val="0"/>
              <c:layout>
                <c:manualLayout>
                  <c:x val="4.1666666666666664E-2"/>
                  <c:y val="1.3888524351122795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2.5000000000000001E-2"/>
                  <c:y val="0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3.888888888888889E-2"/>
                  <c:y val="-7.8703703703703734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CatName val="1"/>
            <c:showPercent val="1"/>
          </c:dLbls>
          <c:cat>
            <c:strRef>
              <c:f>анализ!$U$63:$U$66</c:f>
              <c:strCache>
                <c:ptCount val="4"/>
                <c:pt idx="0">
                  <c:v>кирпичный</c:v>
                </c:pt>
                <c:pt idx="1">
                  <c:v>панельный</c:v>
                </c:pt>
                <c:pt idx="2">
                  <c:v>монолитно-каркасный</c:v>
                </c:pt>
                <c:pt idx="3">
                  <c:v>блочный</c:v>
                </c:pt>
              </c:strCache>
            </c:strRef>
          </c:cat>
          <c:val>
            <c:numRef>
              <c:f>анализ!$W$63:$W$66</c:f>
              <c:numCache>
                <c:formatCode>0.00</c:formatCode>
                <c:ptCount val="4"/>
                <c:pt idx="0">
                  <c:v>30.547203848466626</c:v>
                </c:pt>
                <c:pt idx="1">
                  <c:v>66.386049308478633</c:v>
                </c:pt>
                <c:pt idx="2">
                  <c:v>1.6235718580877927</c:v>
                </c:pt>
                <c:pt idx="3">
                  <c:v>1.4431749849669273</c:v>
                </c:pt>
              </c:numCache>
            </c:numRef>
          </c:val>
        </c:ser>
        <c:dLbls>
          <c:showCatName val="1"/>
          <c:showPercent val="1"/>
        </c:dLbls>
        <c:firstSliceAng val="0"/>
        <c:holeSize val="50"/>
      </c:doughnutChart>
      <c:spPr>
        <a:blipFill dpi="0" rotWithShape="1">
          <a:blip xmlns:r="http://schemas.openxmlformats.org/officeDocument/2006/relationships" r:embed="rId1">
            <a:alphaModFix amt="50000"/>
          </a:blip>
          <a:srcRect/>
          <a:stretch>
            <a:fillRect l="29000" t="46000" r="29000" b="45000"/>
          </a:stretch>
        </a:blipFill>
      </c:spPr>
    </c:plotArea>
    <c:plotVisOnly val="1"/>
    <c:dispBlanksAs val="zero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0"/>
  <c:chart>
    <c:title>
      <c:tx>
        <c:rich>
          <a:bodyPr/>
          <a:lstStyle/>
          <a:p>
            <a:pPr>
              <a:defRPr sz="96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Структура предложения на вторичном рынке жилой недвижимости по диапазону цен в разрезе по размерам квартир г.Тобольск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sysClr val="window" lastClr="FFFFFF"/>
              </a:solidFill>
            </a:ln>
            <a:effectLst>
              <a:outerShdw blurRad="266700" dist="23000" dir="5400000" rotWithShape="0">
                <a:srgbClr val="000000">
                  <a:alpha val="35000"/>
                </a:srgbClr>
              </a:outerShdw>
            </a:effectLst>
          </c:spPr>
          <c:dLbls>
            <c:dLbl>
              <c:idx val="6"/>
              <c:delete val="1"/>
            </c:dLbl>
            <c:dLbl>
              <c:idx val="7"/>
              <c:layout>
                <c:manualLayout>
                  <c:x val="-1.3468013468013467E-2"/>
                  <c:y val="0"/>
                </c:manualLayout>
              </c:layout>
              <c:dLblPos val="outEnd"/>
              <c:showVal val="1"/>
            </c:dLbl>
            <c:dLbl>
              <c:idx val="15"/>
              <c:layout>
                <c:manualLayout>
                  <c:x val="7.0545922260890271E-17"/>
                  <c:y val="1.6064257028112466E-2"/>
                </c:manualLayout>
              </c:layout>
              <c:dLblPos val="outEnd"/>
              <c:showVal val="1"/>
            </c:dLbl>
            <c:dLbl>
              <c:idx val="16"/>
              <c:layout>
                <c:manualLayout>
                  <c:x val="5.772005772005772E-3"/>
                  <c:y val="0"/>
                </c:manualLayout>
              </c:layout>
              <c:dLblPos val="outEnd"/>
              <c:showVal val="1"/>
            </c:dLbl>
            <c:dLbl>
              <c:idx val="17"/>
              <c:layout>
                <c:manualLayout>
                  <c:x val="1.9240019240019275E-3"/>
                  <c:y val="-4.2163404273261118E-7"/>
                </c:manualLayout>
              </c:layout>
              <c:dLblPos val="outEnd"/>
              <c:showVal val="1"/>
            </c:dLbl>
            <c:dLbl>
              <c:idx val="20"/>
              <c:layout>
                <c:manualLayout>
                  <c:x val="1.4184397163120492E-2"/>
                  <c:y val="0"/>
                </c:manualLayout>
              </c:layout>
              <c:dLblPos val="outEnd"/>
              <c:showVal val="1"/>
            </c:dLbl>
            <c:dLbl>
              <c:idx val="24"/>
              <c:layout>
                <c:manualLayout>
                  <c:x val="0"/>
                  <c:y val="1.6064257028112466E-2"/>
                </c:manualLayout>
              </c:layout>
              <c:dLblPos val="outEnd"/>
              <c:showVal val="1"/>
            </c:dLbl>
            <c:dLbl>
              <c:idx val="28"/>
              <c:layout>
                <c:manualLayout>
                  <c:x val="0"/>
                  <c:y val="-2.1419009370816602E-2"/>
                </c:manualLayout>
              </c:layout>
              <c:dLblPos val="outEnd"/>
              <c:showVal val="1"/>
            </c:dLbl>
            <c:dLbl>
              <c:idx val="29"/>
              <c:layout>
                <c:manualLayout>
                  <c:x val="0"/>
                  <c:y val="1.6064257028112466E-2"/>
                </c:manualLayout>
              </c:layout>
              <c:dLblPos val="outEnd"/>
              <c:showVal val="1"/>
            </c:dLbl>
            <c:dLbl>
              <c:idx val="30"/>
              <c:layout>
                <c:manualLayout>
                  <c:x val="5.772005772005772E-3"/>
                  <c:y val="0"/>
                </c:manualLayout>
              </c:layout>
              <c:dLblPos val="outEnd"/>
              <c:showVal val="1"/>
            </c:dLbl>
            <c:dLbl>
              <c:idx val="31"/>
              <c:layout>
                <c:manualLayout>
                  <c:x val="1.1544011544011556E-2"/>
                  <c:y val="-5.3547523427041523E-3"/>
                </c:manualLayout>
              </c:layout>
              <c:dLblPos val="outEnd"/>
              <c:showVal val="1"/>
            </c:dLbl>
            <c:numFmt formatCode="#,##0.0" sourceLinked="0"/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multiLvlStrRef>
              <c:f>анализ!$Y$65:$Z$96</c:f>
              <c:multiLvlStrCache>
                <c:ptCount val="32"/>
                <c:lvl>
                  <c:pt idx="0">
                    <c:v>до 1000</c:v>
                  </c:pt>
                  <c:pt idx="1">
                    <c:v>1000-1500</c:v>
                  </c:pt>
                  <c:pt idx="2">
                    <c:v>1500-2000</c:v>
                  </c:pt>
                  <c:pt idx="3">
                    <c:v>2000-2500</c:v>
                  </c:pt>
                  <c:pt idx="4">
                    <c:v>2500-3000</c:v>
                  </c:pt>
                  <c:pt idx="5">
                    <c:v>3000-3500</c:v>
                  </c:pt>
                  <c:pt idx="6">
                    <c:v>3500-4000</c:v>
                  </c:pt>
                  <c:pt idx="7">
                    <c:v>более 4000</c:v>
                  </c:pt>
                  <c:pt idx="8">
                    <c:v>до 1500</c:v>
                  </c:pt>
                  <c:pt idx="9">
                    <c:v>1500-2000</c:v>
                  </c:pt>
                  <c:pt idx="10">
                    <c:v>2000-2500</c:v>
                  </c:pt>
                  <c:pt idx="11">
                    <c:v>2500-3000</c:v>
                  </c:pt>
                  <c:pt idx="12">
                    <c:v>3000-3500</c:v>
                  </c:pt>
                  <c:pt idx="13">
                    <c:v>3500-4000</c:v>
                  </c:pt>
                  <c:pt idx="14">
                    <c:v>4000-4500</c:v>
                  </c:pt>
                  <c:pt idx="15">
                    <c:v>более 4500</c:v>
                  </c:pt>
                  <c:pt idx="16">
                    <c:v>до 1500</c:v>
                  </c:pt>
                  <c:pt idx="17">
                    <c:v>1500-2000</c:v>
                  </c:pt>
                  <c:pt idx="18">
                    <c:v>2000-2500</c:v>
                  </c:pt>
                  <c:pt idx="19">
                    <c:v>2500-3000</c:v>
                  </c:pt>
                  <c:pt idx="20">
                    <c:v>3000-3500</c:v>
                  </c:pt>
                  <c:pt idx="21">
                    <c:v>3500-4000</c:v>
                  </c:pt>
                  <c:pt idx="22">
                    <c:v>4000-4500</c:v>
                  </c:pt>
                  <c:pt idx="23">
                    <c:v>более 4500</c:v>
                  </c:pt>
                  <c:pt idx="24">
                    <c:v>до 2500</c:v>
                  </c:pt>
                  <c:pt idx="25">
                    <c:v>2500-3000</c:v>
                  </c:pt>
                  <c:pt idx="26">
                    <c:v>3000-3500</c:v>
                  </c:pt>
                  <c:pt idx="27">
                    <c:v>3500-4000</c:v>
                  </c:pt>
                  <c:pt idx="28">
                    <c:v>4000-4500</c:v>
                  </c:pt>
                  <c:pt idx="29">
                    <c:v>4500-5000</c:v>
                  </c:pt>
                  <c:pt idx="30">
                    <c:v>5000-5500</c:v>
                  </c:pt>
                  <c:pt idx="31">
                    <c:v>более 5500</c:v>
                  </c:pt>
                </c:lvl>
                <c:lvl>
                  <c:pt idx="0">
                    <c:v>1-комнатные</c:v>
                  </c:pt>
                  <c:pt idx="8">
                    <c:v>2-комнатные</c:v>
                  </c:pt>
                  <c:pt idx="16">
                    <c:v>3-комнатные</c:v>
                  </c:pt>
                  <c:pt idx="24">
                    <c:v>многокомнатные</c:v>
                  </c:pt>
                </c:lvl>
              </c:multiLvlStrCache>
            </c:multiLvlStrRef>
          </c:cat>
          <c:val>
            <c:numRef>
              <c:f>анализ!$AB$65:$AB$96</c:f>
              <c:numCache>
                <c:formatCode>0.0</c:formatCode>
                <c:ptCount val="32"/>
                <c:pt idx="0">
                  <c:v>1.3927576601671314</c:v>
                </c:pt>
                <c:pt idx="1">
                  <c:v>16.155988857938727</c:v>
                </c:pt>
                <c:pt idx="2">
                  <c:v>48.467966573816128</c:v>
                </c:pt>
                <c:pt idx="3">
                  <c:v>28.690807799442904</c:v>
                </c:pt>
                <c:pt idx="4">
                  <c:v>4.7353760445682465</c:v>
                </c:pt>
                <c:pt idx="5">
                  <c:v>0.2785515320334262</c:v>
                </c:pt>
                <c:pt idx="6">
                  <c:v>0</c:v>
                </c:pt>
                <c:pt idx="7">
                  <c:v>0.2785515320334262</c:v>
                </c:pt>
                <c:pt idx="8">
                  <c:v>2.8985507246376807</c:v>
                </c:pt>
                <c:pt idx="9">
                  <c:v>14.311594202898554</c:v>
                </c:pt>
                <c:pt idx="10">
                  <c:v>47.826086956521756</c:v>
                </c:pt>
                <c:pt idx="11">
                  <c:v>22.644927536231883</c:v>
                </c:pt>
                <c:pt idx="12">
                  <c:v>8.1521739130434785</c:v>
                </c:pt>
                <c:pt idx="13">
                  <c:v>3.0797101449275375</c:v>
                </c:pt>
                <c:pt idx="14">
                  <c:v>0.54347826086956519</c:v>
                </c:pt>
                <c:pt idx="15">
                  <c:v>0.54347826086956519</c:v>
                </c:pt>
                <c:pt idx="16">
                  <c:v>0.62500000000000022</c:v>
                </c:pt>
                <c:pt idx="17">
                  <c:v>2.5</c:v>
                </c:pt>
                <c:pt idx="18">
                  <c:v>11.458333333333332</c:v>
                </c:pt>
                <c:pt idx="19">
                  <c:v>35</c:v>
                </c:pt>
                <c:pt idx="20">
                  <c:v>35.416666666666629</c:v>
                </c:pt>
                <c:pt idx="21">
                  <c:v>7.7083333333333366</c:v>
                </c:pt>
                <c:pt idx="22">
                  <c:v>2.2916666666666665</c:v>
                </c:pt>
                <c:pt idx="23">
                  <c:v>5</c:v>
                </c:pt>
                <c:pt idx="24" formatCode="0.00">
                  <c:v>1.1029411764705883</c:v>
                </c:pt>
                <c:pt idx="25" formatCode="0.00">
                  <c:v>14.33823529411765</c:v>
                </c:pt>
                <c:pt idx="26" formatCode="0.00">
                  <c:v>50.735294117647044</c:v>
                </c:pt>
                <c:pt idx="27" formatCode="0.00">
                  <c:v>20.588235294117631</c:v>
                </c:pt>
                <c:pt idx="28" formatCode="0.00">
                  <c:v>5.5147058823529393</c:v>
                </c:pt>
                <c:pt idx="29" formatCode="0.00">
                  <c:v>1.8382352941176472</c:v>
                </c:pt>
                <c:pt idx="30" formatCode="0.00">
                  <c:v>0.36764705882352922</c:v>
                </c:pt>
                <c:pt idx="31" formatCode="0.00">
                  <c:v>5.5147058823529393</c:v>
                </c:pt>
              </c:numCache>
            </c:numRef>
          </c:val>
        </c:ser>
        <c:gapWidth val="0"/>
        <c:axId val="75597696"/>
        <c:axId val="75599232"/>
      </c:barChart>
      <c:catAx>
        <c:axId val="7559769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5599232"/>
        <c:crosses val="autoZero"/>
        <c:auto val="1"/>
        <c:lblAlgn val="ctr"/>
        <c:lblOffset val="100"/>
      </c:catAx>
      <c:valAx>
        <c:axId val="7559923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%</a:t>
                </a:r>
              </a:p>
            </c:rich>
          </c:tx>
          <c:layout/>
        </c:title>
        <c:numFmt formatCode="0.0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5597696"/>
        <c:crosses val="autoZero"/>
        <c:crossBetween val="between"/>
      </c:valAx>
      <c:spPr>
        <a:blipFill dpi="0" rotWithShape="1">
          <a:blip xmlns:r="http://schemas.openxmlformats.org/officeDocument/2006/relationships" r:embed="rId1">
            <a:alphaModFix amt="50000"/>
          </a:blip>
          <a:srcRect/>
          <a:stretch>
            <a:fillRect l="31000" t="30000" r="38000" b="40000"/>
          </a:stretch>
        </a:blipFill>
      </c:spPr>
    </c:plotArea>
    <c:plotVisOnly val="1"/>
    <c:dispBlanksAs val="gap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0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Структура предложения на вторичном рынке жилой недвижимости по диапазонам цен в разрезе по районам г.Тобольск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sysClr val="window" lastClr="FFFFFF"/>
              </a:solidFill>
            </a:ln>
          </c:spPr>
          <c:dLbls>
            <c:dLbl>
              <c:idx val="3"/>
              <c:layout>
                <c:manualLayout>
                  <c:x val="1.6666666666666684E-2"/>
                  <c:y val="-1.2539184952978056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0555555555555575E-2"/>
                  <c:y val="-3.8313733641690421E-17"/>
                </c:manualLayout>
              </c:layout>
              <c:dLblPos val="outEnd"/>
              <c:showVal val="1"/>
            </c:dLbl>
            <c:dLbl>
              <c:idx val="13"/>
              <c:delete val="1"/>
            </c:dLbl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multiLvlStrRef>
              <c:f>анализ!$R$207:$S$222</c:f>
              <c:multiLvlStrCache>
                <c:ptCount val="16"/>
                <c:lvl>
                  <c:pt idx="0">
                    <c:v>до 1500</c:v>
                  </c:pt>
                  <c:pt idx="1">
                    <c:v>1500-2000</c:v>
                  </c:pt>
                  <c:pt idx="2">
                    <c:v>2000-2500</c:v>
                  </c:pt>
                  <c:pt idx="3">
                    <c:v>2500-3000</c:v>
                  </c:pt>
                  <c:pt idx="4">
                    <c:v>3000-3500</c:v>
                  </c:pt>
                  <c:pt idx="5">
                    <c:v>3500-4000</c:v>
                  </c:pt>
                  <c:pt idx="6">
                    <c:v>4000-4500</c:v>
                  </c:pt>
                  <c:pt idx="7">
                    <c:v>более 4500</c:v>
                  </c:pt>
                  <c:pt idx="8">
                    <c:v>до 1000</c:v>
                  </c:pt>
                  <c:pt idx="9">
                    <c:v>1000-1500</c:v>
                  </c:pt>
                  <c:pt idx="10">
                    <c:v>1500-2000</c:v>
                  </c:pt>
                  <c:pt idx="11">
                    <c:v>2000-2500</c:v>
                  </c:pt>
                  <c:pt idx="12">
                    <c:v>2500-3000</c:v>
                  </c:pt>
                  <c:pt idx="13">
                    <c:v>3000-3500</c:v>
                  </c:pt>
                  <c:pt idx="14">
                    <c:v>3500-4000</c:v>
                  </c:pt>
                  <c:pt idx="15">
                    <c:v>более 4000</c:v>
                  </c:pt>
                </c:lvl>
                <c:lvl>
                  <c:pt idx="0">
                    <c:v>Нагорный р-н</c:v>
                  </c:pt>
                  <c:pt idx="8">
                    <c:v>Подгорный р-н</c:v>
                  </c:pt>
                </c:lvl>
              </c:multiLvlStrCache>
            </c:multiLvlStrRef>
          </c:cat>
          <c:val>
            <c:numRef>
              <c:f>анализ!$U$207:$U$222</c:f>
              <c:numCache>
                <c:formatCode>0.00</c:formatCode>
                <c:ptCount val="16"/>
                <c:pt idx="0">
                  <c:v>3.7247474747474754</c:v>
                </c:pt>
                <c:pt idx="1">
                  <c:v>15.530303030303031</c:v>
                </c:pt>
                <c:pt idx="2">
                  <c:v>25.12626262626263</c:v>
                </c:pt>
                <c:pt idx="3">
                  <c:v>21.654040404040412</c:v>
                </c:pt>
                <c:pt idx="4">
                  <c:v>22.285353535353526</c:v>
                </c:pt>
                <c:pt idx="5">
                  <c:v>6.8813131313131342</c:v>
                </c:pt>
                <c:pt idx="6">
                  <c:v>1.8308080808080809</c:v>
                </c:pt>
                <c:pt idx="7">
                  <c:v>2.9671717171717189</c:v>
                </c:pt>
                <c:pt idx="8">
                  <c:v>6.3291139240506329</c:v>
                </c:pt>
                <c:pt idx="9">
                  <c:v>22.784810126582286</c:v>
                </c:pt>
                <c:pt idx="10">
                  <c:v>24.050632911392402</c:v>
                </c:pt>
                <c:pt idx="11">
                  <c:v>34.177215189873415</c:v>
                </c:pt>
                <c:pt idx="12">
                  <c:v>7.5949367088607573</c:v>
                </c:pt>
                <c:pt idx="13">
                  <c:v>1.2658227848101262</c:v>
                </c:pt>
                <c:pt idx="14">
                  <c:v>1.2658227848101262</c:v>
                </c:pt>
                <c:pt idx="15">
                  <c:v>2.5316455696202524</c:v>
                </c:pt>
              </c:numCache>
            </c:numRef>
          </c:val>
        </c:ser>
        <c:gapWidth val="0"/>
        <c:axId val="75927552"/>
        <c:axId val="75929088"/>
      </c:barChart>
      <c:catAx>
        <c:axId val="7592755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5929088"/>
        <c:crosses val="autoZero"/>
        <c:auto val="1"/>
        <c:lblAlgn val="ctr"/>
        <c:lblOffset val="100"/>
      </c:catAx>
      <c:valAx>
        <c:axId val="7592908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%</a:t>
                </a:r>
              </a:p>
            </c:rich>
          </c:tx>
          <c:layout/>
        </c:title>
        <c:numFmt formatCode="0.00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5927552"/>
        <c:crosses val="autoZero"/>
        <c:crossBetween val="between"/>
      </c:valAx>
      <c:spPr>
        <a:blipFill dpi="0" rotWithShape="1">
          <a:blip xmlns:r="http://schemas.openxmlformats.org/officeDocument/2006/relationships" r:embed="rId1">
            <a:alphaModFix amt="50000"/>
          </a:blip>
          <a:srcRect/>
          <a:stretch>
            <a:fillRect l="30000" t="36000" r="32000" b="44000"/>
          </a:stretch>
        </a:blipFill>
      </c:spPr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0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Структура предложения на вторичном рынке жилой недвижимости по диапазонам площадей в разрезе по размерам квартир г.Тобольск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sysClr val="window" lastClr="FFFFFF"/>
              </a:solidFill>
            </a:ln>
          </c:spPr>
          <c:dLbls>
            <c:dLbl>
              <c:idx val="5"/>
              <c:layout>
                <c:manualLayout>
                  <c:x val="-5.9276805275373639E-3"/>
                  <c:y val="1.3888888888888907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6.8388972039652122E-4"/>
                  <c:y val="2.3148148148148147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3.8313733641690421E-17"/>
                  <c:y val="1.3888888888888907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1.2539184952978056E-2"/>
                  <c:y val="-9.2592592592592778E-3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1.2539184952978056E-2"/>
                  <c:y val="0"/>
                </c:manualLayout>
              </c:layout>
              <c:dLblPos val="outEnd"/>
              <c:showVal val="1"/>
            </c:dLbl>
            <c:dLbl>
              <c:idx val="13"/>
              <c:layout>
                <c:manualLayout>
                  <c:x val="-1.462904911180774E-2"/>
                  <c:y val="1.8518518518518535E-2"/>
                </c:manualLayout>
              </c:layout>
              <c:dLblPos val="outEnd"/>
              <c:showVal val="1"/>
            </c:dLbl>
            <c:dLbl>
              <c:idx val="14"/>
              <c:layout>
                <c:manualLayout>
                  <c:x val="0"/>
                  <c:y val="9.2592592592592778E-3"/>
                </c:manualLayout>
              </c:layout>
              <c:dLblPos val="outEnd"/>
              <c:showVal val="1"/>
            </c:dLbl>
            <c:dLbl>
              <c:idx val="15"/>
              <c:layout>
                <c:manualLayout>
                  <c:x val="8.3594566353187294E-3"/>
                  <c:y val="2.3148148148148147E-2"/>
                </c:manualLayout>
              </c:layout>
              <c:dLblPos val="outEnd"/>
              <c:showVal val="1"/>
            </c:dLbl>
            <c:dLbl>
              <c:idx val="18"/>
              <c:layout>
                <c:manualLayout>
                  <c:x val="-8.3594566353188075E-3"/>
                  <c:y val="-2.7777777777777832E-2"/>
                </c:manualLayout>
              </c:layout>
              <c:dLblPos val="outEnd"/>
              <c:showVal val="1"/>
            </c:dLbl>
            <c:dLbl>
              <c:idx val="20"/>
              <c:layout>
                <c:manualLayout>
                  <c:x val="-1.462904911180766E-2"/>
                  <c:y val="4.6296296296296337E-3"/>
                </c:manualLayout>
              </c:layout>
              <c:dLblPos val="outEnd"/>
              <c:showVal val="1"/>
            </c:dLbl>
            <c:dLbl>
              <c:idx val="21"/>
              <c:layout>
                <c:manualLayout>
                  <c:x val="-4.1797283176593534E-3"/>
                  <c:y val="4.6296296296296337E-3"/>
                </c:manualLayout>
              </c:layout>
              <c:dLblPos val="outEnd"/>
              <c:showVal val="1"/>
            </c:dLbl>
            <c:dLbl>
              <c:idx val="22"/>
              <c:layout>
                <c:manualLayout>
                  <c:x val="0"/>
                  <c:y val="1.8518518518518535E-2"/>
                </c:manualLayout>
              </c:layout>
              <c:dLblPos val="outEnd"/>
              <c:showVal val="1"/>
            </c:dLbl>
            <c:dLbl>
              <c:idx val="23"/>
              <c:layout>
                <c:manualLayout>
                  <c:x val="6.2695924764890314E-3"/>
                  <c:y val="2.7777777777777832E-2"/>
                </c:manualLayout>
              </c:layout>
              <c:dLblPos val="outEnd"/>
              <c:showVal val="1"/>
            </c:dLbl>
            <c:dLbl>
              <c:idx val="24"/>
              <c:layout>
                <c:manualLayout>
                  <c:x val="6.2695924764890314E-3"/>
                  <c:y val="0"/>
                </c:manualLayout>
              </c:layout>
              <c:dLblPos val="outEnd"/>
              <c:showVal val="1"/>
            </c:dLbl>
            <c:dLbl>
              <c:idx val="25"/>
              <c:layout>
                <c:manualLayout>
                  <c:x val="6.2695924764890314E-3"/>
                  <c:y val="1.3888888888888907E-2"/>
                </c:manualLayout>
              </c:layout>
              <c:dLblPos val="outEnd"/>
              <c:showVal val="1"/>
            </c:dLbl>
            <c:dLbl>
              <c:idx val="27"/>
              <c:layout>
                <c:manualLayout>
                  <c:x val="-8.3594566353187294E-3"/>
                  <c:y val="-4.6296296296296337E-3"/>
                </c:manualLayout>
              </c:layout>
              <c:dLblPos val="outEnd"/>
              <c:showVal val="1"/>
            </c:dLbl>
            <c:dLbl>
              <c:idx val="28"/>
              <c:layout>
                <c:manualLayout>
                  <c:x val="-1.5199670289147756E-3"/>
                  <c:y val="9.2592592592592778E-3"/>
                </c:manualLayout>
              </c:layout>
              <c:dLblPos val="outEnd"/>
              <c:showVal val="1"/>
            </c:dLbl>
            <c:dLbl>
              <c:idx val="29"/>
              <c:layout>
                <c:manualLayout>
                  <c:x val="-3.7238237782260767E-3"/>
                  <c:y val="1.3888888888888907E-2"/>
                </c:manualLayout>
              </c:layout>
              <c:dLblPos val="outEnd"/>
              <c:showVal val="1"/>
            </c:dLbl>
            <c:dLbl>
              <c:idx val="30"/>
              <c:delete val="1"/>
            </c:dLbl>
            <c:numFmt formatCode="#,##0.0" sourceLinked="0"/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multiLvlStrRef>
              <c:f>анализ!$R$225:$S$256</c:f>
              <c:multiLvlStrCache>
                <c:ptCount val="32"/>
                <c:lvl>
                  <c:pt idx="0">
                    <c:v>до 25</c:v>
                  </c:pt>
                  <c:pt idx="1">
                    <c:v>25-30</c:v>
                  </c:pt>
                  <c:pt idx="2">
                    <c:v>30-35</c:v>
                  </c:pt>
                  <c:pt idx="3">
                    <c:v>35-40</c:v>
                  </c:pt>
                  <c:pt idx="4">
                    <c:v>40-45</c:v>
                  </c:pt>
                  <c:pt idx="5">
                    <c:v>45-50</c:v>
                  </c:pt>
                  <c:pt idx="6">
                    <c:v>50-55</c:v>
                  </c:pt>
                  <c:pt idx="7">
                    <c:v>более 55</c:v>
                  </c:pt>
                  <c:pt idx="8">
                    <c:v>до 40</c:v>
                  </c:pt>
                  <c:pt idx="9">
                    <c:v>40-45</c:v>
                  </c:pt>
                  <c:pt idx="10">
                    <c:v>45-50</c:v>
                  </c:pt>
                  <c:pt idx="11">
                    <c:v>50-55</c:v>
                  </c:pt>
                  <c:pt idx="12">
                    <c:v>55-60</c:v>
                  </c:pt>
                  <c:pt idx="13">
                    <c:v>60-65</c:v>
                  </c:pt>
                  <c:pt idx="14">
                    <c:v>65-70</c:v>
                  </c:pt>
                  <c:pt idx="15">
                    <c:v>более 70</c:v>
                  </c:pt>
                  <c:pt idx="16">
                    <c:v>до 55</c:v>
                  </c:pt>
                  <c:pt idx="17">
                    <c:v>55-60</c:v>
                  </c:pt>
                  <c:pt idx="18">
                    <c:v>60-65</c:v>
                  </c:pt>
                  <c:pt idx="19">
                    <c:v>65-70</c:v>
                  </c:pt>
                  <c:pt idx="20">
                    <c:v>70-75</c:v>
                  </c:pt>
                  <c:pt idx="21">
                    <c:v>75-80</c:v>
                  </c:pt>
                  <c:pt idx="22">
                    <c:v>80-85</c:v>
                  </c:pt>
                  <c:pt idx="23">
                    <c:v>более 85</c:v>
                  </c:pt>
                  <c:pt idx="24">
                    <c:v>до 70</c:v>
                  </c:pt>
                  <c:pt idx="25">
                    <c:v>70-75</c:v>
                  </c:pt>
                  <c:pt idx="26">
                    <c:v>75-80</c:v>
                  </c:pt>
                  <c:pt idx="27">
                    <c:v>80-85</c:v>
                  </c:pt>
                  <c:pt idx="28">
                    <c:v>85-90</c:v>
                  </c:pt>
                  <c:pt idx="29">
                    <c:v>90-95</c:v>
                  </c:pt>
                  <c:pt idx="30">
                    <c:v>95-100</c:v>
                  </c:pt>
                  <c:pt idx="31">
                    <c:v>более 100</c:v>
                  </c:pt>
                </c:lvl>
                <c:lvl>
                  <c:pt idx="0">
                    <c:v>1-комнатные</c:v>
                  </c:pt>
                  <c:pt idx="8">
                    <c:v>2-комнатные</c:v>
                  </c:pt>
                  <c:pt idx="16">
                    <c:v>3-комнатные</c:v>
                  </c:pt>
                  <c:pt idx="24">
                    <c:v>многокомнатные</c:v>
                  </c:pt>
                </c:lvl>
              </c:multiLvlStrCache>
            </c:multiLvlStrRef>
          </c:cat>
          <c:val>
            <c:numRef>
              <c:f>анализ!$U$225:$U$256</c:f>
              <c:numCache>
                <c:formatCode>0.00</c:formatCode>
                <c:ptCount val="32"/>
                <c:pt idx="0">
                  <c:v>5.2924791086350975</c:v>
                </c:pt>
                <c:pt idx="1">
                  <c:v>21.448467966573808</c:v>
                </c:pt>
                <c:pt idx="2">
                  <c:v>25.348189415041784</c:v>
                </c:pt>
                <c:pt idx="3">
                  <c:v>27.019498607242337</c:v>
                </c:pt>
                <c:pt idx="4">
                  <c:v>19.498607242339816</c:v>
                </c:pt>
                <c:pt idx="5">
                  <c:v>0.55710306406685239</c:v>
                </c:pt>
                <c:pt idx="6">
                  <c:v>0.55710306406685239</c:v>
                </c:pt>
                <c:pt idx="7">
                  <c:v>0.2785515320334262</c:v>
                </c:pt>
                <c:pt idx="8">
                  <c:v>4.3478260869565215</c:v>
                </c:pt>
                <c:pt idx="9">
                  <c:v>26.268115942028977</c:v>
                </c:pt>
                <c:pt idx="10">
                  <c:v>19.021739130434778</c:v>
                </c:pt>
                <c:pt idx="11">
                  <c:v>36.050724637681142</c:v>
                </c:pt>
                <c:pt idx="12">
                  <c:v>6.5217391304347823</c:v>
                </c:pt>
                <c:pt idx="13">
                  <c:v>4.5289855072463734</c:v>
                </c:pt>
                <c:pt idx="14">
                  <c:v>1.9927536231884062</c:v>
                </c:pt>
                <c:pt idx="15">
                  <c:v>1.268115942028986</c:v>
                </c:pt>
                <c:pt idx="16">
                  <c:v>4.375</c:v>
                </c:pt>
                <c:pt idx="17">
                  <c:v>20</c:v>
                </c:pt>
                <c:pt idx="18">
                  <c:v>33.541666666666622</c:v>
                </c:pt>
                <c:pt idx="19">
                  <c:v>29.791666666666668</c:v>
                </c:pt>
                <c:pt idx="20">
                  <c:v>2.5</c:v>
                </c:pt>
                <c:pt idx="21">
                  <c:v>2.5</c:v>
                </c:pt>
                <c:pt idx="22">
                  <c:v>2.2916666666666665</c:v>
                </c:pt>
                <c:pt idx="23">
                  <c:v>5</c:v>
                </c:pt>
                <c:pt idx="24">
                  <c:v>9.1911764705882355</c:v>
                </c:pt>
                <c:pt idx="25">
                  <c:v>4.4117647058823559</c:v>
                </c:pt>
                <c:pt idx="26">
                  <c:v>64.338235294117666</c:v>
                </c:pt>
                <c:pt idx="27">
                  <c:v>8.8235294117647065</c:v>
                </c:pt>
                <c:pt idx="28">
                  <c:v>4.0441176470588207</c:v>
                </c:pt>
                <c:pt idx="29">
                  <c:v>1.1029411764705883</c:v>
                </c:pt>
                <c:pt idx="30">
                  <c:v>0.36764705882352922</c:v>
                </c:pt>
                <c:pt idx="31">
                  <c:v>7.7205882352941178</c:v>
                </c:pt>
              </c:numCache>
            </c:numRef>
          </c:val>
        </c:ser>
        <c:gapWidth val="0"/>
        <c:axId val="75953280"/>
        <c:axId val="75954816"/>
      </c:barChart>
      <c:catAx>
        <c:axId val="7595328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5954816"/>
        <c:crosses val="autoZero"/>
        <c:auto val="1"/>
        <c:lblAlgn val="ctr"/>
        <c:lblOffset val="100"/>
      </c:catAx>
      <c:valAx>
        <c:axId val="7595481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%</a:t>
                </a:r>
              </a:p>
            </c:rich>
          </c:tx>
          <c:layout/>
        </c:title>
        <c:numFmt formatCode="0.00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5953280"/>
        <c:crosses val="autoZero"/>
        <c:crossBetween val="between"/>
      </c:valAx>
      <c:spPr>
        <a:blipFill dpi="0" rotWithShape="1">
          <a:blip xmlns:r="http://schemas.openxmlformats.org/officeDocument/2006/relationships" r:embed="rId1">
            <a:alphaModFix amt="50000"/>
          </a:blip>
          <a:srcRect/>
          <a:stretch>
            <a:fillRect l="31000" t="33000" r="36000" b="44000"/>
          </a:stretch>
        </a:blipFill>
      </c:spPr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удельной цены предложения на вторичном рынке жилой недвижимости г.Тобольск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9.6189458553100696E-2"/>
          <c:y val="0.2378548721013834"/>
          <c:w val="0.79086937892612252"/>
          <c:h val="0.71328915568722218"/>
        </c:manualLayout>
      </c:layout>
      <c:barChart>
        <c:barDir val="col"/>
        <c:grouping val="stacked"/>
        <c:ser>
          <c:idx val="1"/>
          <c:order val="1"/>
          <c:dLbls>
            <c:dLbl>
              <c:idx val="0"/>
              <c:layout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layout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0"/>
                  <c:y val="-5.734729395384714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Val val="1"/>
            </c:dLbl>
            <c:dLbl>
              <c:idx val="4"/>
              <c:layout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5"/>
              <c:layout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6"/>
              <c:layout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7"/>
              <c:layout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8"/>
              <c:layout>
                <c:manualLayout>
                  <c:x val="0"/>
                  <c:y val="-3.823178016726405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Val val="1"/>
            </c:dLbl>
            <c:dLbl>
              <c:idx val="9"/>
              <c:layout>
                <c:manualLayout>
                  <c:x val="0"/>
                  <c:y val="-5.73476702508961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Val val="1"/>
            </c:dLbl>
            <c:dLbl>
              <c:idx val="10"/>
              <c:layout>
                <c:manualLayout>
                  <c:x val="-1.5686274509803921E-3"/>
                  <c:y val="-4.390935004092230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Val val="1"/>
            </c:dLbl>
            <c:dLbl>
              <c:idx val="11"/>
              <c:layout>
                <c:manualLayout>
                  <c:x val="0"/>
                  <c:y val="-5.460333587333843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Val val="1"/>
            </c:dLbl>
            <c:dLbl>
              <c:idx val="12"/>
              <c:layout>
                <c:manualLayout>
                  <c:x val="-7.8431372549019624E-3"/>
                  <c:y val="3.170678933950459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Val val="1"/>
            </c:dLbl>
            <c:delete val="1"/>
          </c:dLbls>
          <c:cat>
            <c:numRef>
              <c:f>анализ!$AT$103:$BF$103</c:f>
              <c:numCache>
                <c:formatCode>mmm/yy</c:formatCode>
                <c:ptCount val="13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</c:numCache>
            </c:numRef>
          </c:cat>
          <c:val>
            <c:numRef>
              <c:f>анализ!$AT$105:$BF$105</c:f>
              <c:numCache>
                <c:formatCode>0.00</c:formatCode>
                <c:ptCount val="13"/>
                <c:pt idx="0">
                  <c:v>0.45533922677429928</c:v>
                </c:pt>
                <c:pt idx="1">
                  <c:v>8.9304781688625212E-2</c:v>
                </c:pt>
                <c:pt idx="2">
                  <c:v>-9.6000178154895366E-2</c:v>
                </c:pt>
                <c:pt idx="3">
                  <c:v>-9.6926379271451424E-3</c:v>
                </c:pt>
                <c:pt idx="4">
                  <c:v>5.5310387165064867E-2</c:v>
                </c:pt>
                <c:pt idx="5">
                  <c:v>-0.84030351840711148</c:v>
                </c:pt>
                <c:pt idx="6">
                  <c:v>-0.38359167058086996</c:v>
                </c:pt>
                <c:pt idx="7">
                  <c:v>-0.92141453831041531</c:v>
                </c:pt>
                <c:pt idx="8">
                  <c:v>-1.2234538280026186</c:v>
                </c:pt>
                <c:pt idx="9">
                  <c:v>-0.57413578512064589</c:v>
                </c:pt>
                <c:pt idx="10">
                  <c:v>-0.66023259570343384</c:v>
                </c:pt>
                <c:pt idx="11">
                  <c:v>-2.4389748175849491E-2</c:v>
                </c:pt>
                <c:pt idx="12">
                  <c:v>-0.33747382544876814</c:v>
                </c:pt>
              </c:numCache>
            </c:numRef>
          </c:val>
        </c:ser>
        <c:overlap val="100"/>
        <c:axId val="112939392"/>
        <c:axId val="112940928"/>
      </c:barChart>
      <c:lineChart>
        <c:grouping val="standard"/>
        <c:ser>
          <c:idx val="0"/>
          <c:order val="0"/>
          <c:spPr>
            <a:ln w="25400">
              <a:prstDash val="sysDash"/>
            </a:ln>
          </c:spPr>
          <c:marker>
            <c:symbol val="diamond"/>
            <c:size val="5"/>
          </c:marker>
          <c:dLbls>
            <c:dLbl>
              <c:idx val="0"/>
              <c:layout>
                <c:manualLayout>
                  <c:x val="-3.2941176470588272E-2"/>
                  <c:y val="-4.301075268817204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1"/>
              <c:layout>
                <c:manualLayout>
                  <c:x val="-2.9803921568627465E-2"/>
                  <c:y val="-5.73476702508961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-3.137254901960787E-2"/>
                  <c:y val="-5.256869772998810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4.2352941176470593E-2"/>
                  <c:y val="-6.212664277180404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11"/>
              <c:layout>
                <c:manualLayout>
                  <c:x val="-4.0784313725490198E-2"/>
                  <c:y val="-5.73476702508961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-3.6078431372549034E-2"/>
                  <c:y val="-5.73476702508961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howVal val="1"/>
          </c:dLbls>
          <c:cat>
            <c:numRef>
              <c:f>анализ!$AT$103:$BF$103</c:f>
              <c:numCache>
                <c:formatCode>mmm/yy</c:formatCode>
                <c:ptCount val="13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</c:numCache>
            </c:numRef>
          </c:cat>
          <c:val>
            <c:numRef>
              <c:f>анализ!$AT$104:$BF$104</c:f>
              <c:numCache>
                <c:formatCode>General</c:formatCode>
                <c:ptCount val="13"/>
                <c:pt idx="0">
                  <c:v>51509</c:v>
                </c:pt>
                <c:pt idx="1">
                  <c:v>51555</c:v>
                </c:pt>
                <c:pt idx="2" formatCode="0">
                  <c:v>51505.50710815224</c:v>
                </c:pt>
                <c:pt idx="3" formatCode="0">
                  <c:v>51500.514865835707</c:v>
                </c:pt>
                <c:pt idx="4">
                  <c:v>51529</c:v>
                </c:pt>
                <c:pt idx="5">
                  <c:v>51096</c:v>
                </c:pt>
                <c:pt idx="6">
                  <c:v>50900</c:v>
                </c:pt>
                <c:pt idx="7">
                  <c:v>50431</c:v>
                </c:pt>
                <c:pt idx="8">
                  <c:v>49814</c:v>
                </c:pt>
                <c:pt idx="9">
                  <c:v>49528</c:v>
                </c:pt>
                <c:pt idx="10">
                  <c:v>49201</c:v>
                </c:pt>
                <c:pt idx="11">
                  <c:v>49189</c:v>
                </c:pt>
                <c:pt idx="12">
                  <c:v>49023</c:v>
                </c:pt>
              </c:numCache>
            </c:numRef>
          </c:val>
          <c:smooth val="1"/>
        </c:ser>
        <c:marker val="1"/>
        <c:axId val="112923776"/>
        <c:axId val="112925312"/>
      </c:lineChart>
      <c:dateAx>
        <c:axId val="112923776"/>
        <c:scaling>
          <c:orientation val="minMax"/>
        </c:scaling>
        <c:axPos val="b"/>
        <c:numFmt formatCode="mmm/yy" sourceLinked="0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2925312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12925312"/>
        <c:scaling>
          <c:orientation val="minMax"/>
          <c:max val="60000"/>
          <c:min val="-10000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2923776"/>
        <c:crosses val="autoZero"/>
        <c:crossBetween val="between"/>
        <c:majorUnit val="10000"/>
        <c:minorUnit val="2000"/>
      </c:valAx>
      <c:dateAx>
        <c:axId val="112939392"/>
        <c:scaling>
          <c:orientation val="minMax"/>
        </c:scaling>
        <c:delete val="1"/>
        <c:axPos val="b"/>
        <c:numFmt formatCode="mmm/yy" sourceLinked="1"/>
        <c:tickLblPos val="nextTo"/>
        <c:crossAx val="112940928"/>
        <c:crosses val="autoZero"/>
        <c:auto val="1"/>
        <c:lblOffset val="100"/>
      </c:dateAx>
      <c:valAx>
        <c:axId val="112940928"/>
        <c:scaling>
          <c:orientation val="minMax"/>
        </c:scaling>
        <c:axPos val="r"/>
        <c:numFmt formatCode="0.00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2939392"/>
        <c:crosses val="max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ru-RU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title>
      <c:tx>
        <c:rich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r>
              <a:rPr lang="ru-RU" sz="900">
                <a:latin typeface="Arial" pitchFamily="34" charset="0"/>
                <a:cs typeface="Arial" pitchFamily="34" charset="0"/>
              </a:rPr>
              <a:t>Удельная</a:t>
            </a:r>
            <a:r>
              <a:rPr lang="ru-RU" sz="900" baseline="0">
                <a:latin typeface="Arial" pitchFamily="34" charset="0"/>
                <a:cs typeface="Arial" pitchFamily="34" charset="0"/>
              </a:rPr>
              <a:t> цена предложения на вторичном рынке г.Тобольск по размеру квартир</a:t>
            </a:r>
            <a:endParaRPr lang="ru-RU" sz="900">
              <a:latin typeface="Arial" pitchFamily="34" charset="0"/>
              <a:cs typeface="Arial" pitchFamily="34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spPr>
            <a:effectLst>
              <a:outerShdw blurRad="215900" dist="215900" dir="3420000" algn="ctr" rotWithShape="0">
                <a:srgbClr val="000000">
                  <a:alpha val="60000"/>
                </a:srgbClr>
              </a:outerShdw>
            </a:effectLst>
          </c:spPr>
          <c:dPt>
            <c:idx val="2"/>
            <c:spPr>
              <a:ln cap="rnd">
                <a:gradFill>
                  <a:gsLst>
                    <a:gs pos="0">
                      <a:schemeClr val="accent1">
                        <a:tint val="66000"/>
                        <a:satMod val="160000"/>
                      </a:schemeClr>
                    </a:gs>
                    <a:gs pos="50000">
                      <a:schemeClr val="accent1">
                        <a:tint val="44500"/>
                        <a:satMod val="160000"/>
                      </a:schemeClr>
                    </a:gs>
                    <a:gs pos="100000">
                      <a:schemeClr val="accent1">
                        <a:tint val="23500"/>
                        <a:satMod val="160000"/>
                      </a:schemeClr>
                    </a:gs>
                  </a:gsLst>
                  <a:lin ang="5400000" scaled="0"/>
                </a:gradFill>
                <a:bevel/>
              </a:ln>
              <a:effectLst>
                <a:outerShdw blurRad="215900" dist="215900" dir="3420000" algn="ctr" rotWithShape="0">
                  <a:srgbClr val="000000">
                    <a:alpha val="60000"/>
                  </a:srgbClr>
                </a:outerShdw>
              </a:effectLst>
            </c:spPr>
          </c:dPt>
          <c:dLbls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анализ!$V$108:$V$111</c:f>
              <c:strCache>
                <c:ptCount val="4"/>
                <c:pt idx="0">
                  <c:v>1-комн.</c:v>
                </c:pt>
                <c:pt idx="1">
                  <c:v>2-комн.</c:v>
                </c:pt>
                <c:pt idx="2">
                  <c:v>3-комн.</c:v>
                </c:pt>
                <c:pt idx="3">
                  <c:v>многокомн.</c:v>
                </c:pt>
              </c:strCache>
            </c:strRef>
          </c:cat>
          <c:val>
            <c:numRef>
              <c:f>анализ!$W$108:$W$111</c:f>
              <c:numCache>
                <c:formatCode>0</c:formatCode>
                <c:ptCount val="4"/>
                <c:pt idx="0">
                  <c:v>54759.115471219295</c:v>
                </c:pt>
                <c:pt idx="1">
                  <c:v>49355.87062144684</c:v>
                </c:pt>
                <c:pt idx="2">
                  <c:v>47355.411735775597</c:v>
                </c:pt>
                <c:pt idx="3">
                  <c:v>44527.834031239261</c:v>
                </c:pt>
              </c:numCache>
            </c:numRef>
          </c:val>
        </c:ser>
        <c:axId val="88651264"/>
        <c:axId val="110204800"/>
      </c:barChart>
      <c:lineChart>
        <c:grouping val="standard"/>
        <c:ser>
          <c:idx val="1"/>
          <c:order val="1"/>
          <c:spPr>
            <a:ln w="22225">
              <a:solidFill>
                <a:schemeClr val="accent2">
                  <a:lumMod val="60000"/>
                  <a:lumOff val="40000"/>
                </a:schemeClr>
              </a:solidFill>
              <a:prstDash val="sysDash"/>
            </a:ln>
          </c:spPr>
          <c:marker>
            <c:symbol val="circle"/>
            <c:size val="5"/>
            <c:spPr>
              <a:ln>
                <a:gradFill>
                  <a:gsLst>
                    <a:gs pos="0">
                      <a:schemeClr val="accent1">
                        <a:tint val="66000"/>
                        <a:satMod val="160000"/>
                      </a:schemeClr>
                    </a:gs>
                    <a:gs pos="50000">
                      <a:schemeClr val="accent1">
                        <a:tint val="44500"/>
                        <a:satMod val="160000"/>
                      </a:schemeClr>
                    </a:gs>
                    <a:gs pos="100000">
                      <a:schemeClr val="accent1">
                        <a:tint val="23500"/>
                        <a:satMod val="160000"/>
                      </a:schemeClr>
                    </a:gs>
                  </a:gsLst>
                  <a:lin ang="5400000" scaled="0"/>
                </a:gradFill>
              </a:ln>
            </c:spPr>
          </c:marker>
          <c:dLbls>
            <c:dLbl>
              <c:idx val="0"/>
              <c:layout>
                <c:manualLayout>
                  <c:x val="0"/>
                  <c:y val="4.6296296296296294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анализ!$V$108:$V$111</c:f>
              <c:strCache>
                <c:ptCount val="4"/>
                <c:pt idx="0">
                  <c:v>1-комн.</c:v>
                </c:pt>
                <c:pt idx="1">
                  <c:v>2-комн.</c:v>
                </c:pt>
                <c:pt idx="2">
                  <c:v>3-комн.</c:v>
                </c:pt>
                <c:pt idx="3">
                  <c:v>многокомн.</c:v>
                </c:pt>
              </c:strCache>
            </c:strRef>
          </c:cat>
          <c:val>
            <c:numRef>
              <c:f>анализ!$X$108:$X$111</c:f>
              <c:numCache>
                <c:formatCode>0.00</c:formatCode>
                <c:ptCount val="4"/>
                <c:pt idx="0">
                  <c:v>0.9272992318255957</c:v>
                </c:pt>
                <c:pt idx="1">
                  <c:v>6.2586155999677651E-2</c:v>
                </c:pt>
                <c:pt idx="2">
                  <c:v>-2.235414479669906E-2</c:v>
                </c:pt>
                <c:pt idx="3">
                  <c:v>0.43268231513726718</c:v>
                </c:pt>
              </c:numCache>
            </c:numRef>
          </c:val>
          <c:smooth val="1"/>
        </c:ser>
        <c:marker val="1"/>
        <c:axId val="110278528"/>
        <c:axId val="110276608"/>
      </c:lineChart>
      <c:catAx>
        <c:axId val="8865126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10204800"/>
        <c:crosses val="autoZero"/>
        <c:auto val="1"/>
        <c:lblAlgn val="ctr"/>
        <c:lblOffset val="100"/>
      </c:catAx>
      <c:valAx>
        <c:axId val="110204800"/>
        <c:scaling>
          <c:orientation val="minMax"/>
        </c:scaling>
        <c:axPos val="l"/>
        <c:majorGridlines/>
        <c:numFmt formatCode="0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88651264"/>
        <c:crosses val="autoZero"/>
        <c:crossBetween val="between"/>
      </c:valAx>
      <c:valAx>
        <c:axId val="110276608"/>
        <c:scaling>
          <c:orientation val="minMax"/>
        </c:scaling>
        <c:axPos val="r"/>
        <c:numFmt formatCode="0.00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10278528"/>
        <c:crosses val="max"/>
        <c:crossBetween val="between"/>
      </c:valAx>
      <c:catAx>
        <c:axId val="110278528"/>
        <c:scaling>
          <c:orientation val="minMax"/>
        </c:scaling>
        <c:delete val="1"/>
        <c:axPos val="b"/>
        <c:tickLblPos val="none"/>
        <c:crossAx val="110276608"/>
        <c:crosses val="autoZero"/>
        <c:auto val="1"/>
        <c:lblAlgn val="ctr"/>
        <c:lblOffset val="100"/>
      </c:catAx>
      <c:spPr>
        <a:blipFill dpi="0" rotWithShape="1">
          <a:blip xmlns:r="http://schemas.openxmlformats.org/officeDocument/2006/relationships" r:embed="rId1">
            <a:alphaModFix amt="80000"/>
          </a:blip>
          <a:srcRect/>
          <a:stretch>
            <a:fillRect l="30000" t="40000" r="16000" b="42000"/>
          </a:stretch>
        </a:blipFill>
      </c:spPr>
    </c:plotArea>
    <c:plotVisOnly val="1"/>
    <c:dispBlanksAs val="gap"/>
  </c:chart>
  <c:spPr>
    <a:ln>
      <a:noFill/>
    </a:ln>
  </c:spPr>
  <c:externalData r:id="rId2"/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title>
      <c:tx>
        <c:rich>
          <a:bodyPr/>
          <a:lstStyle/>
          <a:p>
            <a:pPr>
              <a:defRPr sz="900"/>
            </a:pPr>
            <a:r>
              <a:rPr lang="ru-RU" sz="900">
                <a:latin typeface="Arial" pitchFamily="34" charset="0"/>
                <a:cs typeface="Arial" pitchFamily="34" charset="0"/>
              </a:rPr>
              <a:t>Удельная</a:t>
            </a:r>
            <a:r>
              <a:rPr lang="ru-RU" sz="900" baseline="0">
                <a:latin typeface="Arial" pitchFamily="34" charset="0"/>
                <a:cs typeface="Arial" pitchFamily="34" charset="0"/>
              </a:rPr>
              <a:t> цена на вторичном рынке жилой недвижимости по районам г.Тобольск</a:t>
            </a:r>
            <a:endParaRPr lang="ru-RU" sz="900">
              <a:latin typeface="Arial" pitchFamily="34" charset="0"/>
              <a:cs typeface="Arial" pitchFamily="34" charset="0"/>
            </a:endParaRP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spPr>
            <a:effectLst>
              <a:outerShdw blurRad="177800" dist="38100" dir="2700000" algn="tl" rotWithShape="0">
                <a:prstClr val="black">
                  <a:alpha val="40000"/>
                </a:prstClr>
              </a:outerShdw>
            </a:effectLst>
          </c:spPr>
          <c:dLbls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анализ!$V$136:$V$137</c:f>
              <c:strCache>
                <c:ptCount val="2"/>
                <c:pt idx="0">
                  <c:v>Нагорный</c:v>
                </c:pt>
                <c:pt idx="1">
                  <c:v>Подгорный</c:v>
                </c:pt>
              </c:strCache>
            </c:strRef>
          </c:cat>
          <c:val>
            <c:numRef>
              <c:f>анализ!$W$136:$W$137</c:f>
              <c:numCache>
                <c:formatCode>0</c:formatCode>
                <c:ptCount val="2"/>
                <c:pt idx="0">
                  <c:v>49609.670949057254</c:v>
                </c:pt>
                <c:pt idx="1">
                  <c:v>40043.199285684605</c:v>
                </c:pt>
              </c:numCache>
            </c:numRef>
          </c:val>
        </c:ser>
        <c:gapWidth val="108"/>
        <c:axId val="83956480"/>
        <c:axId val="83958016"/>
      </c:barChart>
      <c:catAx>
        <c:axId val="8395648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83958016"/>
        <c:crosses val="autoZero"/>
        <c:auto val="1"/>
        <c:lblAlgn val="ctr"/>
        <c:lblOffset val="100"/>
      </c:catAx>
      <c:valAx>
        <c:axId val="83958016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 sz="800" b="0">
                    <a:latin typeface="Arial" pitchFamily="34" charset="0"/>
                    <a:cs typeface="Arial" pitchFamily="34" charset="0"/>
                  </a:defRPr>
                </a:pPr>
                <a:r>
                  <a:rPr lang="ru-RU" sz="800" b="0">
                    <a:latin typeface="Arial" pitchFamily="34" charset="0"/>
                    <a:cs typeface="Arial" pitchFamily="34" charset="0"/>
                  </a:rPr>
                  <a:t>Руб./кв.м.</a:t>
                </a:r>
              </a:p>
            </c:rich>
          </c:tx>
          <c:layout/>
        </c:title>
        <c:numFmt formatCode="0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83956480"/>
        <c:crosses val="autoZero"/>
        <c:crossBetween val="between"/>
      </c:valAx>
      <c:spPr>
        <a:blipFill dpi="0" rotWithShape="1">
          <a:blip xmlns:r="http://schemas.openxmlformats.org/officeDocument/2006/relationships" r:embed="rId1">
            <a:alphaModFix amt="50000"/>
          </a:blip>
          <a:srcRect/>
          <a:stretch>
            <a:fillRect l="11000" t="38000" r="18000" b="42000"/>
          </a:stretch>
        </a:blipFill>
      </c:spPr>
    </c:plotArea>
    <c:plotVisOnly val="1"/>
  </c:chart>
  <c:spPr>
    <a:ln>
      <a:noFill/>
    </a:ln>
  </c:spPr>
  <c:externalData r:id="rId2"/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r>
              <a:rPr lang="ru-RU" sz="900">
                <a:latin typeface="Arial" pitchFamily="34" charset="0"/>
                <a:cs typeface="Arial" pitchFamily="34" charset="0"/>
              </a:rPr>
              <a:t>Удельная</a:t>
            </a:r>
            <a:r>
              <a:rPr lang="ru-RU" sz="900" baseline="0">
                <a:latin typeface="Arial" pitchFamily="34" charset="0"/>
                <a:cs typeface="Arial" pitchFamily="34" charset="0"/>
              </a:rPr>
              <a:t> цена на вторичном рынке жилой недвижимости по типу домостроения г.Тобольск</a:t>
            </a:r>
            <a:endParaRPr lang="ru-RU" sz="900">
              <a:latin typeface="Arial" pitchFamily="34" charset="0"/>
              <a:cs typeface="Arial" pitchFamily="34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1"/>
          <c:order val="0"/>
          <c:spPr>
            <a:effectLst>
              <a:outerShdw blurRad="292100" dist="50800" dir="4200000" algn="ctr" rotWithShape="0">
                <a:srgbClr val="000000">
                  <a:alpha val="67000"/>
                </a:srgbClr>
              </a:outerShdw>
            </a:effectLst>
          </c:spPr>
          <c:dLbls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анализ!$W$152:$W$155</c:f>
              <c:strCache>
                <c:ptCount val="4"/>
                <c:pt idx="0">
                  <c:v>панельный</c:v>
                </c:pt>
                <c:pt idx="1">
                  <c:v>кирпичный</c:v>
                </c:pt>
                <c:pt idx="2">
                  <c:v>блочный</c:v>
                </c:pt>
                <c:pt idx="3">
                  <c:v>монолитно-каркасный</c:v>
                </c:pt>
              </c:strCache>
            </c:strRef>
          </c:cat>
          <c:val>
            <c:numRef>
              <c:f>анализ!$X$152:$X$155</c:f>
              <c:numCache>
                <c:formatCode>0</c:formatCode>
                <c:ptCount val="4"/>
                <c:pt idx="0">
                  <c:v>49492.620542227538</c:v>
                </c:pt>
                <c:pt idx="1">
                  <c:v>48722.299495256062</c:v>
                </c:pt>
                <c:pt idx="2">
                  <c:v>46616.081187886768</c:v>
                </c:pt>
                <c:pt idx="3">
                  <c:v>45761.642820634726</c:v>
                </c:pt>
              </c:numCache>
            </c:numRef>
          </c:val>
        </c:ser>
        <c:axId val="111327488"/>
        <c:axId val="111330048"/>
      </c:barChart>
      <c:catAx>
        <c:axId val="11132748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11330048"/>
        <c:crosses val="autoZero"/>
        <c:auto val="1"/>
        <c:lblAlgn val="ctr"/>
        <c:lblOffset val="100"/>
      </c:catAx>
      <c:valAx>
        <c:axId val="11133004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800" b="0">
                    <a:latin typeface="Arial" pitchFamily="34" charset="0"/>
                    <a:cs typeface="Arial" pitchFamily="34" charset="0"/>
                  </a:defRPr>
                </a:pPr>
                <a:r>
                  <a:rPr lang="ru-RU" sz="800" b="0">
                    <a:latin typeface="Arial" pitchFamily="34" charset="0"/>
                    <a:cs typeface="Arial" pitchFamily="34" charset="0"/>
                  </a:rPr>
                  <a:t>Руб./кв.м.</a:t>
                </a:r>
              </a:p>
            </c:rich>
          </c:tx>
          <c:layout/>
        </c:title>
        <c:numFmt formatCode="0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11327488"/>
        <c:crosses val="autoZero"/>
        <c:crossBetween val="between"/>
      </c:valAx>
      <c:spPr>
        <a:noFill/>
      </c:spPr>
    </c:plotArea>
    <c:plotVisOnly val="1"/>
  </c:chart>
  <c:spPr>
    <a:blipFill dpi="0" rotWithShape="1">
      <a:blip xmlns:r="http://schemas.openxmlformats.org/officeDocument/2006/relationships" r:embed="rId1">
        <a:alphaModFix amt="50000"/>
      </a:blip>
      <a:srcRect/>
      <a:stretch>
        <a:fillRect l="33000" t="33000" r="20000" b="54000"/>
      </a:stretch>
    </a:blipFill>
    <a:ln>
      <a:noFill/>
    </a:ln>
  </c:spPr>
  <c:externalData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</cdr:x>
      <cdr:y>0.06601</cdr:y>
    </cdr:from>
    <cdr:to>
      <cdr:x>0.86471</cdr:x>
      <cdr:y>0.11881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477001" y="190501"/>
          <a:ext cx="523875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0.02118</cdr:x>
      <cdr:y>0.09459</cdr:y>
    </cdr:from>
    <cdr:to>
      <cdr:x>0.13647</cdr:x>
      <cdr:y>0.28053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29624" y="190005"/>
          <a:ext cx="705590" cy="3734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itchFamily="34" charset="0"/>
              <a:cs typeface="Arial" pitchFamily="34" charset="0"/>
            </a:rPr>
            <a:t>руб./кв.м.</a:t>
          </a:r>
        </a:p>
      </cdr:txBody>
    </cdr:sp>
  </cdr:relSizeAnchor>
  <cdr:relSizeAnchor xmlns:cdr="http://schemas.openxmlformats.org/drawingml/2006/chartDrawing">
    <cdr:from>
      <cdr:x>0.89764</cdr:x>
      <cdr:y>0.09459</cdr:y>
    </cdr:from>
    <cdr:to>
      <cdr:x>0.94705</cdr:x>
      <cdr:y>0.28383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5493673" y="190005"/>
          <a:ext cx="302396" cy="3801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itchFamily="34" charset="0"/>
              <a:cs typeface="Arial" pitchFamily="34" charset="0"/>
            </a:rPr>
            <a:t>%</a:t>
          </a:r>
        </a:p>
      </cdr:txBody>
    </cdr:sp>
  </cdr:relSizeAnchor>
  <cdr:relSizeAnchor xmlns:cdr="http://schemas.openxmlformats.org/drawingml/2006/chartDrawing">
    <cdr:from>
      <cdr:x>0.00353</cdr:x>
      <cdr:y>0.0231</cdr:y>
    </cdr:from>
    <cdr:to>
      <cdr:x>0.11647</cdr:x>
      <cdr:y>0.33993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8576" y="6667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0.00833</cdr:x>
      <cdr:y>0.07986</cdr:y>
    </cdr:from>
    <cdr:to>
      <cdr:x>0.19792</cdr:x>
      <cdr:y>0.18403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8085" y="219076"/>
          <a:ext cx="866805" cy="2857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itchFamily="34" charset="0"/>
              <a:cs typeface="Arial" pitchFamily="34" charset="0"/>
            </a:rPr>
            <a:t>руб./кв.м</a:t>
          </a:r>
          <a:r>
            <a:rPr lang="ru-RU" sz="900">
              <a:latin typeface="Arial" pitchFamily="34" charset="0"/>
              <a:cs typeface="Arial" pitchFamily="34" charset="0"/>
            </a:rPr>
            <a:t>.</a:t>
          </a:r>
        </a:p>
      </cdr:txBody>
    </cdr:sp>
  </cdr:relSizeAnchor>
  <cdr:relSizeAnchor xmlns:cdr="http://schemas.openxmlformats.org/drawingml/2006/chartDrawing">
    <cdr:from>
      <cdr:x>0.91458</cdr:x>
      <cdr:y>0.06597</cdr:y>
    </cdr:from>
    <cdr:to>
      <cdr:x>0.99375</cdr:x>
      <cdr:y>0.18056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181460" y="180975"/>
          <a:ext cx="361965" cy="3143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itchFamily="34" charset="0"/>
              <a:cs typeface="Arial" pitchFamily="34" charset="0"/>
            </a:rPr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0.85767</cdr:x>
      <cdr:y>0.44792</cdr:y>
    </cdr:from>
    <cdr:to>
      <cdr:x>0.99446</cdr:x>
      <cdr:y>0.59375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419602" y="1228725"/>
          <a:ext cx="704850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</cdr:x>
      <cdr:y>0.06601</cdr:y>
    </cdr:from>
    <cdr:to>
      <cdr:x>0.86471</cdr:x>
      <cdr:y>0.11881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477001" y="190501"/>
          <a:ext cx="523875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1.23514E-7</cdr:x>
      <cdr:y>0.04951</cdr:y>
    </cdr:from>
    <cdr:to>
      <cdr:x>0.11529</cdr:x>
      <cdr:y>0.15842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142876"/>
          <a:ext cx="93345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0.90852</cdr:x>
      <cdr:y>0.06931</cdr:y>
    </cdr:from>
    <cdr:to>
      <cdr:x>0.99176</cdr:x>
      <cdr:y>0.14522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162426" y="200026"/>
          <a:ext cx="381348" cy="2190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itchFamily="34" charset="0"/>
              <a:cs typeface="Arial" pitchFamily="34" charset="0"/>
            </a:rPr>
            <a:t>%</a:t>
          </a:r>
        </a:p>
      </cdr:txBody>
    </cdr:sp>
  </cdr:relSizeAnchor>
  <cdr:relSizeAnchor xmlns:cdr="http://schemas.openxmlformats.org/drawingml/2006/chartDrawing">
    <cdr:from>
      <cdr:x>0.00353</cdr:x>
      <cdr:y>0.0231</cdr:y>
    </cdr:from>
    <cdr:to>
      <cdr:x>0.11647</cdr:x>
      <cdr:y>0.33993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8576" y="6667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0.00362</cdr:x>
      <cdr:y>0.04878</cdr:y>
    </cdr:from>
    <cdr:to>
      <cdr:x>0.14105</cdr:x>
      <cdr:y>0.14634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9050" y="133350"/>
          <a:ext cx="7239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itchFamily="34" charset="0"/>
              <a:cs typeface="Arial" pitchFamily="34" charset="0"/>
            </a:rPr>
            <a:t>руб./кв.м.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77A5-18B1-4102-AFFA-86D0B8DE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a.f.spicheva</cp:lastModifiedBy>
  <cp:revision>2</cp:revision>
  <cp:lastPrinted>2014-11-11T10:24:00Z</cp:lastPrinted>
  <dcterms:created xsi:type="dcterms:W3CDTF">2015-02-09T12:46:00Z</dcterms:created>
  <dcterms:modified xsi:type="dcterms:W3CDTF">2015-02-09T12:46:00Z</dcterms:modified>
</cp:coreProperties>
</file>