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F0" w:rsidRDefault="00D046F0" w:rsidP="00AA16AF">
      <w:pPr>
        <w:ind w:left="-709"/>
        <w:jc w:val="center"/>
        <w:rPr>
          <w:rFonts w:ascii="Arial" w:hAnsi="Arial" w:cs="Arial"/>
          <w:b/>
        </w:rPr>
      </w:pPr>
    </w:p>
    <w:p w:rsidR="00D046F0" w:rsidRDefault="00D046F0" w:rsidP="00AA16AF">
      <w:pPr>
        <w:ind w:left="-709"/>
        <w:jc w:val="center"/>
        <w:rPr>
          <w:rFonts w:ascii="Arial" w:hAnsi="Arial" w:cs="Arial"/>
          <w:b/>
        </w:rPr>
      </w:pPr>
    </w:p>
    <w:p w:rsidR="00D046F0" w:rsidRDefault="00D046F0" w:rsidP="00AA16AF">
      <w:pPr>
        <w:ind w:left="-709"/>
        <w:jc w:val="center"/>
        <w:rPr>
          <w:rFonts w:ascii="Arial" w:hAnsi="Arial" w:cs="Arial"/>
          <w:b/>
        </w:rPr>
      </w:pPr>
    </w:p>
    <w:p w:rsidR="00D046F0" w:rsidRDefault="00D046F0" w:rsidP="00AA16AF">
      <w:pPr>
        <w:ind w:left="-709"/>
        <w:jc w:val="center"/>
        <w:rPr>
          <w:rFonts w:ascii="Arial" w:hAnsi="Arial" w:cs="Arial"/>
          <w:b/>
        </w:rPr>
      </w:pPr>
    </w:p>
    <w:p w:rsidR="00785BA5" w:rsidRDefault="00785BA5" w:rsidP="00AA16AF">
      <w:pPr>
        <w:ind w:left="-709"/>
        <w:jc w:val="center"/>
        <w:rPr>
          <w:rFonts w:ascii="Arial" w:hAnsi="Arial" w:cs="Arial"/>
          <w:b/>
        </w:rPr>
      </w:pPr>
      <w:r w:rsidRPr="00925FBC">
        <w:rPr>
          <w:rFonts w:ascii="Arial" w:hAnsi="Arial" w:cs="Arial"/>
          <w:b/>
        </w:rPr>
        <w:t xml:space="preserve">ОБЗОР ВТОРИЧНОГО РЫНКА ЖИЛОЙ НЕДВИЖИМОСТИ </w:t>
      </w:r>
      <w:r>
        <w:rPr>
          <w:rFonts w:ascii="Arial" w:hAnsi="Arial" w:cs="Arial"/>
          <w:b/>
        </w:rPr>
        <w:t xml:space="preserve">Г. СУРГУТ. </w:t>
      </w:r>
      <w:r w:rsidR="00141220">
        <w:rPr>
          <w:rFonts w:ascii="Arial" w:hAnsi="Arial" w:cs="Arial"/>
          <w:b/>
        </w:rPr>
        <w:t>ФЕВРАЛЬ</w:t>
      </w:r>
      <w:r w:rsidR="00482AF2">
        <w:rPr>
          <w:rFonts w:ascii="Arial" w:hAnsi="Arial" w:cs="Arial"/>
          <w:b/>
        </w:rPr>
        <w:t xml:space="preserve"> 2014</w:t>
      </w:r>
      <w:r w:rsidRPr="00925FBC">
        <w:rPr>
          <w:rFonts w:ascii="Arial" w:hAnsi="Arial" w:cs="Arial"/>
          <w:b/>
        </w:rPr>
        <w:t>Г.</w:t>
      </w:r>
      <w:r w:rsidR="00197F96">
        <w:rPr>
          <w:rStyle w:val="ae"/>
          <w:rFonts w:ascii="Arial" w:hAnsi="Arial" w:cs="Arial"/>
          <w:b/>
        </w:rPr>
        <w:footnoteReference w:id="1"/>
      </w:r>
    </w:p>
    <w:p w:rsidR="00D046F0" w:rsidRDefault="00D046F0" w:rsidP="00317D34">
      <w:pPr>
        <w:ind w:left="-851" w:right="-7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334000" cy="3212950"/>
            <wp:effectExtent l="19050" t="0" r="0" b="0"/>
            <wp:docPr id="7" name="Рисунок 1" descr="C:\Users\a.s.moiseeva\Desktop\фото сургут для обзора\сург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.moiseeva\Desktop\фото сургут для обзора\сург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97" cy="321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C5" w:rsidRDefault="003E6EC5" w:rsidP="003E6EC5">
      <w:pPr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3E6EC5" w:rsidRDefault="003E6EC5" w:rsidP="003E6EC5">
      <w:pPr>
        <w:ind w:left="-1134"/>
        <w:rPr>
          <w:rFonts w:ascii="Arial" w:hAnsi="Arial" w:cs="Arial"/>
          <w:b/>
        </w:rPr>
      </w:pPr>
    </w:p>
    <w:p w:rsidR="003E6EC5" w:rsidRDefault="003E6EC5" w:rsidP="003E6EC5">
      <w:pPr>
        <w:ind w:left="-1134"/>
        <w:rPr>
          <w:rFonts w:ascii="Arial" w:hAnsi="Arial" w:cs="Arial"/>
          <w:b/>
        </w:rPr>
      </w:pPr>
    </w:p>
    <w:p w:rsidR="003E6EC5" w:rsidRDefault="003E6EC5" w:rsidP="003E6EC5">
      <w:pPr>
        <w:ind w:left="-1134"/>
        <w:rPr>
          <w:rFonts w:ascii="Arial" w:hAnsi="Arial" w:cs="Arial"/>
          <w:b/>
        </w:rPr>
      </w:pPr>
    </w:p>
    <w:p w:rsidR="003E6EC5" w:rsidRDefault="003E6EC5" w:rsidP="003E6EC5">
      <w:pPr>
        <w:ind w:left="-1134"/>
        <w:rPr>
          <w:rFonts w:ascii="Arial" w:hAnsi="Arial" w:cs="Arial"/>
          <w:b/>
        </w:rPr>
      </w:pPr>
    </w:p>
    <w:p w:rsidR="003E6EC5" w:rsidRDefault="003E6EC5" w:rsidP="003E6EC5">
      <w:pPr>
        <w:ind w:left="-1134"/>
        <w:rPr>
          <w:rFonts w:ascii="Arial" w:hAnsi="Arial" w:cs="Arial"/>
          <w:b/>
        </w:rPr>
      </w:pPr>
    </w:p>
    <w:p w:rsidR="00D77C6B" w:rsidRDefault="00D77C6B" w:rsidP="003E6EC5">
      <w:pPr>
        <w:ind w:left="-1134"/>
        <w:rPr>
          <w:rFonts w:ascii="Arial" w:hAnsi="Arial" w:cs="Arial"/>
          <w:b/>
        </w:rPr>
      </w:pPr>
    </w:p>
    <w:p w:rsidR="00A14CE0" w:rsidRDefault="00A14CE0" w:rsidP="00D046F0">
      <w:pPr>
        <w:ind w:left="-1134"/>
        <w:jc w:val="center"/>
        <w:rPr>
          <w:rFonts w:ascii="Arial" w:hAnsi="Arial" w:cs="Arial"/>
          <w:b/>
        </w:rPr>
      </w:pPr>
    </w:p>
    <w:p w:rsidR="00A14CE0" w:rsidRDefault="00A14CE0" w:rsidP="00D046F0">
      <w:pPr>
        <w:ind w:left="-1134"/>
        <w:jc w:val="center"/>
        <w:rPr>
          <w:rFonts w:ascii="Arial" w:hAnsi="Arial" w:cs="Arial"/>
          <w:b/>
        </w:rPr>
      </w:pPr>
    </w:p>
    <w:p w:rsidR="00A14CE0" w:rsidRDefault="00A14CE0" w:rsidP="00D046F0">
      <w:pPr>
        <w:ind w:left="-1134"/>
        <w:jc w:val="center"/>
        <w:rPr>
          <w:rFonts w:ascii="Arial" w:hAnsi="Arial" w:cs="Arial"/>
          <w:b/>
        </w:rPr>
      </w:pPr>
    </w:p>
    <w:p w:rsidR="003E6EC5" w:rsidRDefault="003E6EC5" w:rsidP="00D046F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РЕЗУЛЬТАТЫ</w:t>
      </w:r>
    </w:p>
    <w:p w:rsidR="00357963" w:rsidRPr="002E17A9" w:rsidRDefault="00C14342" w:rsidP="00C14342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2E17A9">
        <w:rPr>
          <w:rFonts w:ascii="Arial" w:hAnsi="Arial" w:cs="Arial"/>
        </w:rPr>
        <w:t>Средняя величина торга на квартиры в феврале 2014г. составила 3,</w:t>
      </w:r>
      <w:r w:rsidR="00357963" w:rsidRPr="002E17A9">
        <w:rPr>
          <w:rFonts w:ascii="Arial" w:hAnsi="Arial" w:cs="Arial"/>
        </w:rPr>
        <w:t>1%</w:t>
      </w:r>
    </w:p>
    <w:p w:rsidR="002E17A9" w:rsidRPr="002E17A9" w:rsidRDefault="002E17A9" w:rsidP="002E17A9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2E17A9">
        <w:rPr>
          <w:rFonts w:ascii="Arial" w:hAnsi="Arial" w:cs="Arial"/>
        </w:rPr>
        <w:t>В феврале 2013г. удельная цена предложения продолжает снижаться, средний полугодовой процент прироста составил -0,66%(</w:t>
      </w:r>
      <w:proofErr w:type="spellStart"/>
      <w:r w:rsidRPr="002E17A9">
        <w:rPr>
          <w:rFonts w:ascii="Arial" w:hAnsi="Arial" w:cs="Arial"/>
        </w:rPr>
        <w:t>↓</w:t>
      </w:r>
      <w:proofErr w:type="spellEnd"/>
      <w:r w:rsidRPr="002E17A9">
        <w:rPr>
          <w:rFonts w:ascii="Arial" w:hAnsi="Arial" w:cs="Arial"/>
        </w:rPr>
        <w:t>).</w:t>
      </w:r>
    </w:p>
    <w:p w:rsidR="003E6EC5" w:rsidRDefault="003E6EC5" w:rsidP="002E17A9">
      <w:pPr>
        <w:pStyle w:val="a3"/>
        <w:ind w:left="1440"/>
        <w:jc w:val="both"/>
        <w:rPr>
          <w:rFonts w:ascii="Arial" w:hAnsi="Arial" w:cs="Arial"/>
        </w:rPr>
      </w:pPr>
      <w:r w:rsidRPr="00AA5F79">
        <w:rPr>
          <w:rFonts w:ascii="Arial" w:hAnsi="Arial" w:cs="Arial"/>
        </w:rPr>
        <w:br w:type="textWrapping" w:clear="all"/>
      </w:r>
    </w:p>
    <w:p w:rsidR="00482AF2" w:rsidRPr="00392D04" w:rsidRDefault="00D046F0" w:rsidP="00392D04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785BA5" w:rsidRPr="003E6EC5">
        <w:rPr>
          <w:rFonts w:ascii="Arial" w:hAnsi="Arial" w:cs="Arial"/>
          <w:b/>
        </w:rPr>
        <w:lastRenderedPageBreak/>
        <w:t>АНАЛИЗ СТРУКТУРЫ ПРЕДЛОЖЕНИЯ НА РЫНКЕ ВТОРИЧНОГО ЖИЛЬЯ Г.СУРГУТА</w:t>
      </w:r>
    </w:p>
    <w:p w:rsidR="000A3D18" w:rsidRPr="00392D04" w:rsidRDefault="000A3D18" w:rsidP="00D91EB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392D04">
        <w:rPr>
          <w:rFonts w:ascii="Arial" w:hAnsi="Arial" w:cs="Arial"/>
          <w:sz w:val="20"/>
          <w:szCs w:val="20"/>
        </w:rPr>
        <w:t>На вторичном рынке жилья г</w:t>
      </w:r>
      <w:proofErr w:type="gramStart"/>
      <w:r w:rsidRPr="00392D04">
        <w:rPr>
          <w:rFonts w:ascii="Arial" w:hAnsi="Arial" w:cs="Arial"/>
          <w:sz w:val="20"/>
          <w:szCs w:val="20"/>
        </w:rPr>
        <w:t>.С</w:t>
      </w:r>
      <w:proofErr w:type="gramEnd"/>
      <w:r w:rsidRPr="00392D04">
        <w:rPr>
          <w:rFonts w:ascii="Arial" w:hAnsi="Arial" w:cs="Arial"/>
          <w:sz w:val="20"/>
          <w:szCs w:val="20"/>
        </w:rPr>
        <w:t xml:space="preserve">ургута объем предложения составил </w:t>
      </w:r>
      <w:r w:rsidR="00392D04">
        <w:rPr>
          <w:rFonts w:ascii="Arial" w:hAnsi="Arial" w:cs="Arial"/>
          <w:sz w:val="20"/>
          <w:szCs w:val="20"/>
        </w:rPr>
        <w:t>более</w:t>
      </w:r>
      <w:r w:rsidRPr="00392D04">
        <w:rPr>
          <w:rFonts w:ascii="Arial" w:hAnsi="Arial" w:cs="Arial"/>
          <w:sz w:val="20"/>
          <w:szCs w:val="20"/>
        </w:rPr>
        <w:t xml:space="preserve"> 20</w:t>
      </w:r>
      <w:r w:rsidR="00392D04">
        <w:rPr>
          <w:rFonts w:ascii="Arial" w:hAnsi="Arial" w:cs="Arial"/>
          <w:sz w:val="20"/>
          <w:szCs w:val="20"/>
        </w:rPr>
        <w:t>0</w:t>
      </w:r>
      <w:r w:rsidRPr="00392D04">
        <w:rPr>
          <w:rFonts w:ascii="Arial" w:hAnsi="Arial" w:cs="Arial"/>
          <w:sz w:val="20"/>
          <w:szCs w:val="20"/>
        </w:rPr>
        <w:t>0</w:t>
      </w:r>
      <w:r w:rsidR="00392D04">
        <w:rPr>
          <w:rFonts w:ascii="Arial" w:hAnsi="Arial" w:cs="Arial"/>
          <w:sz w:val="20"/>
          <w:szCs w:val="20"/>
        </w:rPr>
        <w:t xml:space="preserve"> квартир (за исключением других типов и малоэтажного строительства), что на 2,18</w:t>
      </w:r>
      <w:r w:rsidR="00D91EB5">
        <w:rPr>
          <w:rFonts w:ascii="Arial" w:hAnsi="Arial" w:cs="Arial"/>
          <w:sz w:val="20"/>
          <w:szCs w:val="20"/>
        </w:rPr>
        <w:t>% меньше, чем в прошлом месяце.</w:t>
      </w:r>
    </w:p>
    <w:p w:rsidR="00392D04" w:rsidRPr="005B084C" w:rsidRDefault="00392D04" w:rsidP="00AA24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D7456" w:rsidRPr="00570755" w:rsidRDefault="009D7456" w:rsidP="000A3D18">
      <w:pPr>
        <w:ind w:right="-284"/>
        <w:jc w:val="both"/>
        <w:rPr>
          <w:rFonts w:ascii="Arial" w:hAnsi="Arial" w:cs="Arial"/>
          <w:sz w:val="20"/>
          <w:szCs w:val="20"/>
        </w:rPr>
      </w:pPr>
      <w:r w:rsidRPr="00570755">
        <w:rPr>
          <w:rFonts w:ascii="Arial" w:hAnsi="Arial" w:cs="Arial"/>
          <w:sz w:val="20"/>
          <w:szCs w:val="20"/>
        </w:rPr>
        <w:t>Объем предложения 2-комнатных квартир в феврале 2014г. составил 38%, 1-комнатных - 29%, 3-комнатных - 24% и многокомнатных - 9%.</w:t>
      </w:r>
    </w:p>
    <w:p w:rsidR="00001361" w:rsidRPr="006A10D7" w:rsidRDefault="009D7456" w:rsidP="006A10D7">
      <w:pPr>
        <w:ind w:left="284" w:right="-284"/>
        <w:jc w:val="center"/>
        <w:rPr>
          <w:rFonts w:ascii="Arial" w:hAnsi="Arial" w:cs="Arial"/>
          <w:i/>
          <w:sz w:val="16"/>
          <w:szCs w:val="16"/>
        </w:rPr>
      </w:pPr>
      <w:r w:rsidRPr="00570755">
        <w:rPr>
          <w:rFonts w:ascii="Arial" w:hAnsi="Arial" w:cs="Arial"/>
          <w:i/>
          <w:noProof/>
          <w:sz w:val="16"/>
          <w:szCs w:val="16"/>
        </w:rPr>
        <w:drawing>
          <wp:inline distT="0" distB="0" distL="0" distR="0">
            <wp:extent cx="3190875" cy="2238375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3D18" w:rsidRDefault="00001361" w:rsidP="002B76CF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2013-2014гг</w:t>
      </w:r>
    </w:p>
    <w:p w:rsidR="00D91EB5" w:rsidRDefault="00D91EB5" w:rsidP="00D91EB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91EB5" w:rsidRDefault="00D91EB5" w:rsidP="00D91E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1EB5">
        <w:rPr>
          <w:rFonts w:ascii="Arial" w:hAnsi="Arial" w:cs="Arial"/>
          <w:sz w:val="20"/>
          <w:szCs w:val="20"/>
        </w:rPr>
        <w:t>В разрезе по типу домостроения основной объем предложения представлен квартирами в панельных домах - 73%</w:t>
      </w:r>
      <w:r>
        <w:rPr>
          <w:rFonts w:ascii="Arial" w:hAnsi="Arial" w:cs="Arial"/>
          <w:sz w:val="20"/>
          <w:szCs w:val="20"/>
        </w:rPr>
        <w:t>; в кирпичных домах - 14%, в домах с монолитным и блочным типами домостроения - 9% и 4% соответственно.</w:t>
      </w:r>
      <w:proofErr w:type="gramEnd"/>
    </w:p>
    <w:p w:rsidR="006A10D7" w:rsidRDefault="009C74B9" w:rsidP="00D91E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 предложения в Северном жилом и Центральном районах составил 30% и 29% соответственно, в Восточном - 24% и Северо-Восточном жилом - 16%.</w:t>
      </w:r>
    </w:p>
    <w:p w:rsidR="009C74B9" w:rsidRDefault="009C74B9" w:rsidP="00D91EB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C74B9" w:rsidRDefault="009C74B9" w:rsidP="00D91EB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C74B9" w:rsidRPr="00D91EB5" w:rsidRDefault="009C74B9" w:rsidP="002E17A9">
      <w:pPr>
        <w:spacing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1-комнатные квартиры в большем объеме представлены с ценой от 3750 до 4000 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 xml:space="preserve">уб. (19%), 2-комнатные - </w:t>
      </w:r>
      <w:r w:rsidR="002E17A9">
        <w:rPr>
          <w:rFonts w:ascii="Arial" w:hAnsi="Arial" w:cs="Arial"/>
          <w:sz w:val="20"/>
          <w:szCs w:val="20"/>
        </w:rPr>
        <w:t>от 4750 до 5000 тыс.руб. (14,7%), 3-комнатные - от 6250 до 6500 тыс.руб. (13,9%).</w:t>
      </w:r>
    </w:p>
    <w:p w:rsidR="006A10D7" w:rsidRDefault="00493A15" w:rsidP="00493A15">
      <w:pPr>
        <w:spacing w:line="240" w:lineRule="auto"/>
        <w:ind w:right="-993"/>
        <w:jc w:val="center"/>
      </w:pPr>
      <w:r w:rsidRPr="00493A15">
        <w:rPr>
          <w:noProof/>
        </w:rPr>
        <w:drawing>
          <wp:inline distT="0" distB="0" distL="0" distR="0">
            <wp:extent cx="5086350" cy="27241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76D5" w:rsidRPr="009E7324" w:rsidRDefault="006A10D7" w:rsidP="006A10D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2013-2014гг</w:t>
      </w:r>
      <w:r w:rsidR="003B76D5">
        <w:br w:type="page"/>
      </w:r>
    </w:p>
    <w:p w:rsidR="00785BA5" w:rsidRDefault="00785BA5" w:rsidP="00785BA5">
      <w:pPr>
        <w:rPr>
          <w:rFonts w:ascii="Arial" w:hAnsi="Arial" w:cs="Arial"/>
          <w:b/>
        </w:rPr>
      </w:pPr>
      <w:r w:rsidRPr="00025BE3">
        <w:rPr>
          <w:rFonts w:ascii="Arial" w:hAnsi="Arial" w:cs="Arial"/>
          <w:b/>
        </w:rPr>
        <w:lastRenderedPageBreak/>
        <w:t>А</w:t>
      </w:r>
      <w:r>
        <w:rPr>
          <w:rFonts w:ascii="Arial" w:hAnsi="Arial" w:cs="Arial"/>
          <w:b/>
        </w:rPr>
        <w:t>НАЛИЗ ЦЕНОВОЙ СИТУАЦИИ НА ВТОРИЧНОМ РЫНКЕ ЖИЛЬЯ</w:t>
      </w:r>
    </w:p>
    <w:p w:rsidR="00974843" w:rsidRDefault="00974843" w:rsidP="00685BE4">
      <w:pPr>
        <w:jc w:val="both"/>
        <w:rPr>
          <w:rFonts w:ascii="Arial" w:hAnsi="Arial" w:cs="Arial"/>
          <w:sz w:val="20"/>
          <w:szCs w:val="20"/>
        </w:rPr>
      </w:pPr>
      <w:r w:rsidRPr="00974843">
        <w:rPr>
          <w:rFonts w:ascii="Arial" w:hAnsi="Arial" w:cs="Arial"/>
          <w:sz w:val="20"/>
          <w:szCs w:val="20"/>
        </w:rPr>
        <w:t>Удельная цена предложения в феврале 2014г. сложилась на уровне 86145 руб./кв.м., что на 0,76% ниже, чем в прошлом месяце</w:t>
      </w:r>
      <w:r>
        <w:rPr>
          <w:rFonts w:ascii="Arial" w:hAnsi="Arial" w:cs="Arial"/>
          <w:sz w:val="20"/>
          <w:szCs w:val="20"/>
        </w:rPr>
        <w:t>. Темп прироста к февралю 2013г. - 2,28%(</w:t>
      </w:r>
      <w:proofErr w:type="spellStart"/>
      <w:r>
        <w:rPr>
          <w:rFonts w:ascii="Arial" w:hAnsi="Arial" w:cs="Arial"/>
          <w:sz w:val="20"/>
          <w:szCs w:val="20"/>
        </w:rPr>
        <w:t>↓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9376C6" w:rsidRPr="00974843" w:rsidRDefault="00685BE4" w:rsidP="00685B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феврале 2013г. удельная цена предложения продолжает снижаться, средний полугодовой процент прироста составил -0,66%(</w:t>
      </w:r>
      <w:proofErr w:type="spellStart"/>
      <w:r>
        <w:rPr>
          <w:rFonts w:ascii="Arial" w:hAnsi="Arial" w:cs="Arial"/>
          <w:sz w:val="20"/>
          <w:szCs w:val="20"/>
        </w:rPr>
        <w:t>↓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53534F" w:rsidRDefault="00974843" w:rsidP="00974843">
      <w:pPr>
        <w:ind w:left="-851" w:right="-709"/>
      </w:pPr>
      <w:r w:rsidRPr="00974843">
        <w:rPr>
          <w:noProof/>
        </w:rPr>
        <w:drawing>
          <wp:inline distT="0" distB="0" distL="0" distR="0">
            <wp:extent cx="5343525" cy="2838450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67C2" w:rsidRDefault="000467C2" w:rsidP="000467C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2013-2014гг</w:t>
      </w:r>
    </w:p>
    <w:p w:rsidR="00E37E75" w:rsidRDefault="00570755" w:rsidP="003C0679">
      <w:pPr>
        <w:ind w:left="-142" w:right="-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Удельная цена выставленных на продажу в феврале 2014г. объе</w:t>
      </w:r>
      <w:r w:rsidR="009C74B9">
        <w:rPr>
          <w:rFonts w:ascii="Arial" w:hAnsi="Arial" w:cs="Arial"/>
          <w:sz w:val="20"/>
          <w:szCs w:val="20"/>
        </w:rPr>
        <w:t>ктов составила 85133 руб./кв.м.</w:t>
      </w:r>
      <w:r>
        <w:rPr>
          <w:rFonts w:ascii="Arial" w:hAnsi="Arial" w:cs="Arial"/>
          <w:sz w:val="20"/>
          <w:szCs w:val="20"/>
        </w:rPr>
        <w:t xml:space="preserve"> </w:t>
      </w:r>
      <w:r w:rsidR="009C74B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на 1,4% ниже удельной цены старого предложения</w:t>
      </w:r>
      <w:r w:rsidR="009C74B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что в целом сказалось на уменьшении общей удельной цены предложения на 0,76%.</w:t>
      </w:r>
    </w:p>
    <w:p w:rsidR="00C14342" w:rsidRDefault="00C14342" w:rsidP="003C0679">
      <w:pPr>
        <w:ind w:left="-142" w:right="-314"/>
        <w:jc w:val="both"/>
        <w:rPr>
          <w:rFonts w:ascii="Arial" w:hAnsi="Arial" w:cs="Arial"/>
          <w:sz w:val="20"/>
          <w:szCs w:val="20"/>
        </w:rPr>
      </w:pPr>
    </w:p>
    <w:p w:rsidR="005A6466" w:rsidRDefault="00313C20" w:rsidP="00313C20">
      <w:pPr>
        <w:ind w:left="-142" w:right="-284"/>
        <w:jc w:val="both"/>
        <w:rPr>
          <w:rFonts w:ascii="Arial" w:hAnsi="Arial" w:cs="Arial"/>
          <w:sz w:val="20"/>
          <w:szCs w:val="20"/>
        </w:rPr>
      </w:pPr>
      <w:r w:rsidRPr="00313C20">
        <w:rPr>
          <w:rFonts w:ascii="Arial" w:hAnsi="Arial" w:cs="Arial"/>
          <w:sz w:val="20"/>
          <w:szCs w:val="20"/>
        </w:rPr>
        <w:t>В феврале 2014г. прослеживается отрицательная динамика удельной цены предложения 1-, 2,- и 3-комнатных квартир, при этом наибольший т</w:t>
      </w:r>
      <w:r>
        <w:rPr>
          <w:rFonts w:ascii="Arial" w:hAnsi="Arial" w:cs="Arial"/>
          <w:sz w:val="20"/>
          <w:szCs w:val="20"/>
        </w:rPr>
        <w:t xml:space="preserve">емп </w:t>
      </w:r>
      <w:r w:rsidR="00176A5B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роста составил </w:t>
      </w:r>
      <w:r w:rsidR="00176A5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0,94%</w:t>
      </w:r>
      <w:r w:rsidRPr="00313C20">
        <w:rPr>
          <w:rFonts w:ascii="Arial" w:hAnsi="Arial" w:cs="Arial"/>
          <w:sz w:val="20"/>
          <w:szCs w:val="20"/>
        </w:rPr>
        <w:t>(</w:t>
      </w:r>
      <w:proofErr w:type="spellStart"/>
      <w:r w:rsidRPr="00313C20">
        <w:rPr>
          <w:rFonts w:ascii="Arial" w:hAnsi="Arial" w:cs="Arial"/>
          <w:sz w:val="20"/>
          <w:szCs w:val="20"/>
        </w:rPr>
        <w:t>↓</w:t>
      </w:r>
      <w:proofErr w:type="spellEnd"/>
      <w:r w:rsidRPr="00313C20">
        <w:rPr>
          <w:rFonts w:ascii="Arial" w:hAnsi="Arial" w:cs="Arial"/>
          <w:sz w:val="20"/>
          <w:szCs w:val="20"/>
        </w:rPr>
        <w:t>) на 2-комнатные квартиры.</w:t>
      </w:r>
    </w:p>
    <w:p w:rsidR="00176A5B" w:rsidRPr="00313C20" w:rsidRDefault="00176A5B" w:rsidP="00313C20">
      <w:pPr>
        <w:ind w:left="-142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Увеличение удельной цены предложения многокомнатных квартир на 0,54%(↑) произошло в пределах погрешности (2,3%), в феврале 2014г. она составила 79724 руб./кв.м.</w:t>
      </w:r>
    </w:p>
    <w:p w:rsidR="00570755" w:rsidRDefault="009D7456" w:rsidP="009D7456">
      <w:pPr>
        <w:ind w:right="-284"/>
        <w:jc w:val="right"/>
        <w:rPr>
          <w:rFonts w:ascii="Arial" w:hAnsi="Arial" w:cs="Arial"/>
          <w:i/>
          <w:sz w:val="16"/>
          <w:szCs w:val="16"/>
        </w:rPr>
      </w:pPr>
      <w:r w:rsidRPr="009D7456">
        <w:rPr>
          <w:rFonts w:ascii="Arial" w:hAnsi="Arial" w:cs="Arial"/>
          <w:i/>
          <w:noProof/>
          <w:sz w:val="16"/>
          <w:szCs w:val="16"/>
        </w:rPr>
        <w:drawing>
          <wp:inline distT="0" distB="0" distL="0" distR="0">
            <wp:extent cx="5048250" cy="2409825"/>
            <wp:effectExtent l="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7E75" w:rsidRPr="003711B1" w:rsidRDefault="005A6466" w:rsidP="003711B1">
      <w:pPr>
        <w:tabs>
          <w:tab w:val="left" w:pos="851"/>
        </w:tabs>
        <w:spacing w:line="240" w:lineRule="auto"/>
        <w:ind w:left="709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2013-2014гг</w:t>
      </w:r>
    </w:p>
    <w:p w:rsidR="003711B1" w:rsidRDefault="003711B1" w:rsidP="00232CE3">
      <w:pPr>
        <w:ind w:right="-284"/>
        <w:jc w:val="both"/>
        <w:rPr>
          <w:rFonts w:ascii="Arial" w:hAnsi="Arial" w:cs="Arial"/>
          <w:sz w:val="20"/>
          <w:szCs w:val="20"/>
        </w:rPr>
      </w:pPr>
    </w:p>
    <w:p w:rsidR="00232CE3" w:rsidRDefault="00232CE3" w:rsidP="00232CE3">
      <w:pPr>
        <w:ind w:right="-284"/>
        <w:jc w:val="both"/>
        <w:rPr>
          <w:rFonts w:ascii="Arial" w:hAnsi="Arial" w:cs="Arial"/>
          <w:sz w:val="20"/>
          <w:szCs w:val="20"/>
        </w:rPr>
      </w:pPr>
      <w:r w:rsidRPr="00232CE3">
        <w:rPr>
          <w:rFonts w:ascii="Arial" w:hAnsi="Arial" w:cs="Arial"/>
          <w:sz w:val="20"/>
          <w:szCs w:val="20"/>
        </w:rPr>
        <w:t>В разрезе по районам города также наблюдается отрицательная динамика удельной цены предложения</w:t>
      </w:r>
      <w:r>
        <w:rPr>
          <w:rFonts w:ascii="Arial" w:hAnsi="Arial" w:cs="Arial"/>
          <w:sz w:val="20"/>
          <w:szCs w:val="20"/>
        </w:rPr>
        <w:t xml:space="preserve">. </w:t>
      </w:r>
      <w:r w:rsidR="003711B1">
        <w:rPr>
          <w:rFonts w:ascii="Arial" w:hAnsi="Arial" w:cs="Arial"/>
          <w:sz w:val="20"/>
          <w:szCs w:val="20"/>
        </w:rPr>
        <w:t xml:space="preserve">Темп прироста удельной цены в Северо-Восточном жилом районе достиг </w:t>
      </w:r>
      <w:r w:rsidR="000A3D18">
        <w:rPr>
          <w:rFonts w:ascii="Arial" w:hAnsi="Arial" w:cs="Arial"/>
          <w:sz w:val="20"/>
          <w:szCs w:val="20"/>
        </w:rPr>
        <w:t>-</w:t>
      </w:r>
      <w:r w:rsidR="003711B1">
        <w:rPr>
          <w:rFonts w:ascii="Arial" w:hAnsi="Arial" w:cs="Arial"/>
          <w:sz w:val="20"/>
          <w:szCs w:val="20"/>
        </w:rPr>
        <w:t>1,33%(</w:t>
      </w:r>
      <w:proofErr w:type="spellStart"/>
      <w:r w:rsidR="003711B1">
        <w:rPr>
          <w:rFonts w:ascii="Arial" w:hAnsi="Arial" w:cs="Arial"/>
          <w:sz w:val="20"/>
          <w:szCs w:val="20"/>
        </w:rPr>
        <w:t>↓</w:t>
      </w:r>
      <w:proofErr w:type="spellEnd"/>
      <w:r w:rsidR="003711B1">
        <w:rPr>
          <w:rFonts w:ascii="Arial" w:hAnsi="Arial" w:cs="Arial"/>
          <w:sz w:val="20"/>
          <w:szCs w:val="20"/>
        </w:rPr>
        <w:t>). Удельная цена предложения в Северном жилом районе составила 86132 руб./кв.м., что на 0,73% ниже уровня прошлого месяца. В Центральном районе темп прироста составил -0,58%(</w:t>
      </w:r>
      <w:proofErr w:type="spellStart"/>
      <w:r w:rsidR="003711B1">
        <w:rPr>
          <w:rFonts w:ascii="Arial" w:hAnsi="Arial" w:cs="Arial"/>
          <w:sz w:val="20"/>
          <w:szCs w:val="20"/>
        </w:rPr>
        <w:t>↓</w:t>
      </w:r>
      <w:proofErr w:type="spellEnd"/>
      <w:r w:rsidR="003711B1">
        <w:rPr>
          <w:rFonts w:ascii="Arial" w:hAnsi="Arial" w:cs="Arial"/>
          <w:sz w:val="20"/>
          <w:szCs w:val="20"/>
        </w:rPr>
        <w:t>), удельная цена предложения в феврале - 85884 руб./кв.м.</w:t>
      </w:r>
      <w:r w:rsidR="000A3D18">
        <w:rPr>
          <w:rFonts w:ascii="Arial" w:hAnsi="Arial" w:cs="Arial"/>
          <w:sz w:val="20"/>
          <w:szCs w:val="20"/>
        </w:rPr>
        <w:t xml:space="preserve"> На 0,72% снизилась удельная цена предложения в Восточном районе (85490 руб./кв.м.)</w:t>
      </w:r>
    </w:p>
    <w:p w:rsidR="003711B1" w:rsidRPr="00232CE3" w:rsidRDefault="003711B1" w:rsidP="00232CE3">
      <w:pPr>
        <w:ind w:right="-284"/>
        <w:jc w:val="both"/>
        <w:rPr>
          <w:rFonts w:ascii="Arial" w:hAnsi="Arial" w:cs="Arial"/>
          <w:sz w:val="20"/>
          <w:szCs w:val="20"/>
        </w:rPr>
      </w:pPr>
    </w:p>
    <w:p w:rsidR="00C13664" w:rsidRDefault="00C13664" w:rsidP="009263BC">
      <w:pPr>
        <w:ind w:right="-284"/>
        <w:jc w:val="center"/>
        <w:rPr>
          <w:rFonts w:ascii="Arial" w:hAnsi="Arial" w:cs="Arial"/>
          <w:i/>
          <w:sz w:val="16"/>
          <w:szCs w:val="16"/>
        </w:rPr>
      </w:pPr>
    </w:p>
    <w:p w:rsidR="00C30FEF" w:rsidRDefault="00C14342" w:rsidP="00C14342">
      <w:pPr>
        <w:ind w:left="-709" w:right="-284"/>
        <w:jc w:val="center"/>
        <w:rPr>
          <w:rFonts w:ascii="Arial" w:hAnsi="Arial" w:cs="Arial"/>
          <w:i/>
          <w:sz w:val="16"/>
          <w:szCs w:val="16"/>
        </w:rPr>
      </w:pPr>
      <w:r w:rsidRPr="00C14342">
        <w:rPr>
          <w:rFonts w:ascii="Arial" w:hAnsi="Arial" w:cs="Arial"/>
          <w:i/>
          <w:noProof/>
          <w:sz w:val="16"/>
          <w:szCs w:val="16"/>
        </w:rPr>
        <w:lastRenderedPageBreak/>
        <w:drawing>
          <wp:inline distT="0" distB="0" distL="0" distR="0">
            <wp:extent cx="5172075" cy="3171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0FEF" w:rsidRDefault="00C30FEF" w:rsidP="00C30FEF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2013-2014гг</w:t>
      </w:r>
    </w:p>
    <w:p w:rsidR="00C30FEF" w:rsidRDefault="00C30FEF" w:rsidP="009263BC">
      <w:pPr>
        <w:ind w:right="-284"/>
        <w:jc w:val="center"/>
        <w:rPr>
          <w:rFonts w:ascii="Arial" w:hAnsi="Arial" w:cs="Arial"/>
          <w:i/>
          <w:sz w:val="16"/>
          <w:szCs w:val="16"/>
        </w:rPr>
      </w:pPr>
    </w:p>
    <w:p w:rsidR="00C30FEF" w:rsidRDefault="00357963" w:rsidP="00357963">
      <w:pPr>
        <w:ind w:right="-284"/>
        <w:jc w:val="both"/>
        <w:rPr>
          <w:rFonts w:ascii="Arial" w:hAnsi="Arial" w:cs="Arial"/>
          <w:sz w:val="20"/>
          <w:szCs w:val="20"/>
        </w:rPr>
      </w:pPr>
      <w:r w:rsidRPr="00357963">
        <w:rPr>
          <w:rFonts w:ascii="Arial" w:hAnsi="Arial" w:cs="Arial"/>
          <w:sz w:val="20"/>
          <w:szCs w:val="20"/>
        </w:rPr>
        <w:t>Удельная цена продаж в феврале 2014г. составила 80550 руб./кв.м. при средней площади квартир 56,6 кв.м.</w:t>
      </w:r>
    </w:p>
    <w:p w:rsidR="00357963" w:rsidRPr="00357963" w:rsidRDefault="00357963" w:rsidP="00357963">
      <w:pPr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Только 25% квартир в общем объеме продаж были проданы по первоначальной цене. Средний торг на квартиры в феврале 2014г. составил 3,1%.</w:t>
      </w:r>
    </w:p>
    <w:p w:rsidR="00C30FEF" w:rsidRPr="00C30FEF" w:rsidRDefault="00C30FEF" w:rsidP="00C30FE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0FEF">
        <w:rPr>
          <w:rFonts w:ascii="Arial" w:hAnsi="Arial" w:cs="Arial"/>
          <w:b/>
          <w:sz w:val="20"/>
          <w:szCs w:val="20"/>
        </w:rPr>
        <w:lastRenderedPageBreak/>
        <w:t xml:space="preserve">ПРИЛОЖЕНИЕ №1. ЧИСЛОВАЯ ДИСКРЕТНАЯ ПРОСТРАНСТВЕННО-ПАРАМЕТРИЧЕСКАЯ МОДЕЛЬ ВТОРИЧНОГО РЫНКА Г. СУРГУТ. </w:t>
      </w:r>
      <w:r w:rsidR="00357963">
        <w:rPr>
          <w:rFonts w:ascii="Arial" w:hAnsi="Arial" w:cs="Arial"/>
          <w:b/>
          <w:sz w:val="20"/>
          <w:szCs w:val="20"/>
        </w:rPr>
        <w:t>ФЕВРАЛЬ</w:t>
      </w:r>
      <w:r w:rsidRPr="00C30FEF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4</w:t>
      </w:r>
      <w:r w:rsidRPr="00C30FEF">
        <w:rPr>
          <w:rFonts w:ascii="Arial" w:hAnsi="Arial" w:cs="Arial"/>
          <w:b/>
          <w:sz w:val="20"/>
          <w:szCs w:val="20"/>
        </w:rPr>
        <w:t>Г.</w:t>
      </w:r>
    </w:p>
    <w:p w:rsidR="00774326" w:rsidRDefault="00774326" w:rsidP="00774326">
      <w:pPr>
        <w:ind w:right="-284"/>
        <w:rPr>
          <w:rFonts w:ascii="Arial" w:hAnsi="Arial" w:cs="Arial"/>
          <w:sz w:val="20"/>
          <w:szCs w:val="20"/>
        </w:rPr>
      </w:pPr>
      <w:r w:rsidRPr="00774326">
        <w:rPr>
          <w:rFonts w:ascii="Arial" w:hAnsi="Arial" w:cs="Arial"/>
          <w:sz w:val="20"/>
          <w:szCs w:val="20"/>
        </w:rPr>
        <w:t>Основные показатели</w:t>
      </w:r>
    </w:p>
    <w:tbl>
      <w:tblPr>
        <w:tblStyle w:val="a6"/>
        <w:tblW w:w="0" w:type="auto"/>
        <w:tblLook w:val="04A0"/>
      </w:tblPr>
      <w:tblGrid>
        <w:gridCol w:w="534"/>
        <w:gridCol w:w="4536"/>
      </w:tblGrid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 w:rsidRPr="00680B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Объем выборки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шт.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 w:rsidRPr="00680B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Удельная цена</w:t>
            </w: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, руб./кв.м.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 w:rsidRPr="00680B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руб./к.м.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 w:rsidRPr="00680B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Погрешность,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руб./к.м.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Погрешность, %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Min</w:t>
            </w:r>
            <w:proofErr w:type="spellEnd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, руб./кв</w:t>
            </w:r>
            <w:proofErr w:type="gram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, руб./кв</w:t>
            </w:r>
            <w:proofErr w:type="gram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Средняя площадь,  кв.м.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СКО, кв.м.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Погрешность, кв.м.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Погрешность, %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Min</w:t>
            </w:r>
            <w:proofErr w:type="spellEnd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, кв</w:t>
            </w:r>
            <w:proofErr w:type="gram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, кв</w:t>
            </w:r>
            <w:proofErr w:type="gram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Средняя полная цена, руб.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СКО, руб.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Погрешность, руб.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Погрешность, %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Min</w:t>
            </w:r>
            <w:proofErr w:type="spellEnd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74326" w:rsidTr="00774326">
        <w:tc>
          <w:tcPr>
            <w:tcW w:w="534" w:type="dxa"/>
            <w:vAlign w:val="bottom"/>
          </w:tcPr>
          <w:p w:rsidR="00774326" w:rsidRPr="00680B68" w:rsidRDefault="00774326" w:rsidP="008D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36" w:type="dxa"/>
            <w:vAlign w:val="center"/>
          </w:tcPr>
          <w:p w:rsidR="00774326" w:rsidRPr="00680B68" w:rsidRDefault="00774326" w:rsidP="008D7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>Средневзвешенная уд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ельная</w:t>
            </w:r>
            <w:r w:rsidRPr="00680B68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цена, руб./кв.м.</w:t>
            </w:r>
          </w:p>
        </w:tc>
      </w:tr>
    </w:tbl>
    <w:p w:rsidR="00774326" w:rsidRDefault="00774326" w:rsidP="00774326">
      <w:pPr>
        <w:ind w:right="-284"/>
        <w:rPr>
          <w:rFonts w:ascii="Arial" w:hAnsi="Arial" w:cs="Arial"/>
          <w:sz w:val="20"/>
          <w:szCs w:val="20"/>
        </w:rPr>
      </w:pPr>
    </w:p>
    <w:p w:rsidR="008D7D99" w:rsidRPr="00774326" w:rsidRDefault="008D7D99" w:rsidP="00774326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="000A3D18">
        <w:rPr>
          <w:rFonts w:ascii="Arial" w:hAnsi="Arial" w:cs="Arial"/>
          <w:sz w:val="20"/>
          <w:szCs w:val="20"/>
        </w:rPr>
        <w:t>феврале</w:t>
      </w:r>
      <w:r>
        <w:rPr>
          <w:rFonts w:ascii="Arial" w:hAnsi="Arial" w:cs="Arial"/>
          <w:sz w:val="20"/>
          <w:szCs w:val="20"/>
        </w:rPr>
        <w:t xml:space="preserve"> 2014г. более подробно был рассмотрен </w:t>
      </w:r>
      <w:r w:rsidR="00495E5F">
        <w:rPr>
          <w:rFonts w:ascii="Arial" w:hAnsi="Arial" w:cs="Arial"/>
          <w:sz w:val="20"/>
          <w:szCs w:val="20"/>
        </w:rPr>
        <w:t>Северо-Восточный жилой</w:t>
      </w:r>
      <w:r>
        <w:rPr>
          <w:rFonts w:ascii="Arial" w:hAnsi="Arial" w:cs="Arial"/>
          <w:sz w:val="20"/>
          <w:szCs w:val="20"/>
        </w:rPr>
        <w:t xml:space="preserve"> район.</w:t>
      </w:r>
    </w:p>
    <w:p w:rsidR="00207048" w:rsidRDefault="00A42996" w:rsidP="009263BC">
      <w:pPr>
        <w:ind w:right="-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5B084C" w:rsidRDefault="005B084C" w:rsidP="00D84568">
      <w:pPr>
        <w:jc w:val="center"/>
        <w:rPr>
          <w:rFonts w:ascii="Arial" w:hAnsi="Arial" w:cs="Arial"/>
        </w:rPr>
        <w:sectPr w:rsidR="005B084C" w:rsidSect="00D91EB5">
          <w:headerReference w:type="default" r:id="rId14"/>
          <w:type w:val="continuous"/>
          <w:pgSz w:w="16838" w:h="11906" w:orient="landscape"/>
          <w:pgMar w:top="0" w:right="1134" w:bottom="709" w:left="851" w:header="708" w:footer="708" w:gutter="0"/>
          <w:cols w:num="2" w:space="679"/>
          <w:titlePg/>
          <w:docGrid w:linePitch="360"/>
        </w:sectPr>
      </w:pPr>
    </w:p>
    <w:tbl>
      <w:tblPr>
        <w:tblW w:w="15828" w:type="dxa"/>
        <w:tblInd w:w="-459" w:type="dxa"/>
        <w:tblLayout w:type="fixed"/>
        <w:tblLook w:val="04A0"/>
      </w:tblPr>
      <w:tblGrid>
        <w:gridCol w:w="851"/>
        <w:gridCol w:w="1135"/>
        <w:gridCol w:w="703"/>
        <w:gridCol w:w="708"/>
        <w:gridCol w:w="715"/>
        <w:gridCol w:w="709"/>
        <w:gridCol w:w="567"/>
        <w:gridCol w:w="708"/>
        <w:gridCol w:w="850"/>
        <w:gridCol w:w="567"/>
        <w:gridCol w:w="425"/>
        <w:gridCol w:w="426"/>
        <w:gridCol w:w="439"/>
        <w:gridCol w:w="411"/>
        <w:gridCol w:w="567"/>
        <w:gridCol w:w="851"/>
        <w:gridCol w:w="992"/>
        <w:gridCol w:w="992"/>
        <w:gridCol w:w="528"/>
        <w:gridCol w:w="1031"/>
        <w:gridCol w:w="928"/>
        <w:gridCol w:w="725"/>
      </w:tblGrid>
      <w:tr w:rsidR="00D61D3F" w:rsidRPr="000B5756" w:rsidTr="003A1217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Кол-во комнат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3F" w:rsidRPr="000B5756" w:rsidRDefault="00D61D3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86145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9690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117808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5140890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1945377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87043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25000000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85440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1-комн.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90449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9154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64719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126087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3595505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740531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61872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7500000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90030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2-комн.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85366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61538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112882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4853602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1145851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82695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2500000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3-комн.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84899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9403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58055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111842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6478051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1595713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147053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3150000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15000000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85133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многокомн</w:t>
            </w:r>
            <w:proofErr w:type="spellEnd"/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79724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12427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44674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164557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7919891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3333437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492830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3900000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26000000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80740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5E5F" w:rsidRPr="000B5756" w:rsidRDefault="00495E5F" w:rsidP="00495E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Северо-Восточный жилой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88014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66038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114286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5303065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1941469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216388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17000000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86855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1-комн.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91989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66038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117808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3896742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737116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128804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5600000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91649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2-комн.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86149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68493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5227327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1271351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254270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3300000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86007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3-комн.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85013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107143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7185556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1664757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395141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5200000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12000000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84733</w:t>
            </w:r>
          </w:p>
        </w:tc>
      </w:tr>
      <w:tr w:rsidR="00495E5F" w:rsidRPr="000B5756" w:rsidTr="003A12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5F" w:rsidRPr="000B5756" w:rsidRDefault="00495E5F" w:rsidP="000B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многокомн</w:t>
            </w:r>
            <w:proofErr w:type="spellEnd"/>
            <w:r w:rsidRPr="000B57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80469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72277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8315789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2349235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1107440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6400000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17000000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5F" w:rsidRPr="00495E5F" w:rsidRDefault="00495E5F" w:rsidP="00495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5F">
              <w:rPr>
                <w:rFonts w:ascii="Arial" w:hAnsi="Arial" w:cs="Arial"/>
                <w:color w:val="000000"/>
                <w:sz w:val="16"/>
                <w:szCs w:val="16"/>
              </w:rPr>
              <w:t>79972</w:t>
            </w:r>
          </w:p>
        </w:tc>
      </w:tr>
    </w:tbl>
    <w:p w:rsidR="006A5320" w:rsidRPr="00D84568" w:rsidRDefault="006A5320" w:rsidP="000B5756">
      <w:pPr>
        <w:ind w:left="-851"/>
        <w:jc w:val="center"/>
        <w:rPr>
          <w:rFonts w:ascii="Arial" w:hAnsi="Arial" w:cs="Arial"/>
          <w:i/>
          <w:sz w:val="16"/>
          <w:szCs w:val="16"/>
        </w:rPr>
      </w:pPr>
    </w:p>
    <w:sectPr w:rsidR="006A5320" w:rsidRPr="00D84568" w:rsidSect="005B084C">
      <w:type w:val="continuous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F8" w:rsidRDefault="00817FF8" w:rsidP="00CD383D">
      <w:pPr>
        <w:spacing w:after="0" w:line="240" w:lineRule="auto"/>
      </w:pPr>
      <w:r>
        <w:separator/>
      </w:r>
    </w:p>
  </w:endnote>
  <w:endnote w:type="continuationSeparator" w:id="0">
    <w:p w:rsidR="00817FF8" w:rsidRDefault="00817FF8" w:rsidP="00CD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F8" w:rsidRDefault="00817FF8" w:rsidP="00CD383D">
      <w:pPr>
        <w:spacing w:after="0" w:line="240" w:lineRule="auto"/>
      </w:pPr>
      <w:r>
        <w:separator/>
      </w:r>
    </w:p>
  </w:footnote>
  <w:footnote w:type="continuationSeparator" w:id="0">
    <w:p w:rsidR="00817FF8" w:rsidRDefault="00817FF8" w:rsidP="00CD383D">
      <w:pPr>
        <w:spacing w:after="0" w:line="240" w:lineRule="auto"/>
      </w:pPr>
      <w:r>
        <w:continuationSeparator/>
      </w:r>
    </w:p>
  </w:footnote>
  <w:footnote w:id="1">
    <w:p w:rsidR="007643BB" w:rsidRDefault="007643BB">
      <w:pPr>
        <w:pStyle w:val="ac"/>
      </w:pPr>
      <w:r>
        <w:rPr>
          <w:rStyle w:val="ae"/>
        </w:rPr>
        <w:footnoteRef/>
      </w:r>
      <w:r>
        <w:t xml:space="preserve"> </w:t>
      </w:r>
      <w:r w:rsidRPr="00197F96">
        <w:rPr>
          <w:rFonts w:ascii="Arial" w:hAnsi="Arial" w:cs="Arial"/>
          <w:sz w:val="16"/>
          <w:szCs w:val="16"/>
        </w:rPr>
        <w:t xml:space="preserve">Отчет выполнен в соответствии с методологическими рекомендациями по анализу рынка недвижимости </w:t>
      </w:r>
      <w:proofErr w:type="spellStart"/>
      <w:r w:rsidRPr="00197F96">
        <w:rPr>
          <w:rFonts w:ascii="Arial" w:hAnsi="Arial" w:cs="Arial"/>
          <w:sz w:val="16"/>
          <w:szCs w:val="16"/>
        </w:rPr>
        <w:t>Г.М.Стерника</w:t>
      </w:r>
      <w:proofErr w:type="spellEnd"/>
      <w:r w:rsidRPr="00197F96">
        <w:rPr>
          <w:rFonts w:ascii="Arial" w:hAnsi="Arial" w:cs="Arial"/>
          <w:sz w:val="16"/>
          <w:szCs w:val="16"/>
        </w:rPr>
        <w:t>, принятыми Российской Гильдией Риэлторов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BB" w:rsidRDefault="00BB6A78">
    <w:pPr>
      <w:pStyle w:val="a7"/>
      <w:jc w:val="right"/>
    </w:pPr>
    <w:fldSimple w:instr=" PAGE   \* MERGEFORMAT ">
      <w:r w:rsidR="00FB22FD">
        <w:rPr>
          <w:noProof/>
        </w:rPr>
        <w:t>4</w:t>
      </w:r>
    </w:fldSimple>
  </w:p>
  <w:p w:rsidR="007643BB" w:rsidRDefault="00764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2F27"/>
    <w:multiLevelType w:val="hybridMultilevel"/>
    <w:tmpl w:val="59A0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036AE"/>
    <w:multiLevelType w:val="hybridMultilevel"/>
    <w:tmpl w:val="CC2896F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50447FC6"/>
    <w:multiLevelType w:val="hybridMultilevel"/>
    <w:tmpl w:val="460825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7866697"/>
    <w:multiLevelType w:val="hybridMultilevel"/>
    <w:tmpl w:val="1754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724BA"/>
    <w:multiLevelType w:val="hybridMultilevel"/>
    <w:tmpl w:val="382E8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5BA5"/>
    <w:rsid w:val="00001361"/>
    <w:rsid w:val="00044EB8"/>
    <w:rsid w:val="000467C2"/>
    <w:rsid w:val="00071CBC"/>
    <w:rsid w:val="00076763"/>
    <w:rsid w:val="000A3D18"/>
    <w:rsid w:val="000B5756"/>
    <w:rsid w:val="000C0B68"/>
    <w:rsid w:val="000C454D"/>
    <w:rsid w:val="000C5B3D"/>
    <w:rsid w:val="000E1CD3"/>
    <w:rsid w:val="001134B4"/>
    <w:rsid w:val="001363E6"/>
    <w:rsid w:val="00140739"/>
    <w:rsid w:val="00141220"/>
    <w:rsid w:val="00145C4B"/>
    <w:rsid w:val="001512E7"/>
    <w:rsid w:val="00176A5B"/>
    <w:rsid w:val="00197F96"/>
    <w:rsid w:val="001B03B9"/>
    <w:rsid w:val="001D5C7A"/>
    <w:rsid w:val="00203EF6"/>
    <w:rsid w:val="00207048"/>
    <w:rsid w:val="00232CE3"/>
    <w:rsid w:val="00264EB2"/>
    <w:rsid w:val="002712D8"/>
    <w:rsid w:val="00275AB0"/>
    <w:rsid w:val="0028762D"/>
    <w:rsid w:val="002951A9"/>
    <w:rsid w:val="002B76CF"/>
    <w:rsid w:val="002D2ED4"/>
    <w:rsid w:val="002E17A9"/>
    <w:rsid w:val="002F050F"/>
    <w:rsid w:val="00302399"/>
    <w:rsid w:val="00313C20"/>
    <w:rsid w:val="003141FF"/>
    <w:rsid w:val="00314C27"/>
    <w:rsid w:val="00317D34"/>
    <w:rsid w:val="003214BA"/>
    <w:rsid w:val="0032195E"/>
    <w:rsid w:val="00324F7D"/>
    <w:rsid w:val="00325095"/>
    <w:rsid w:val="00354320"/>
    <w:rsid w:val="00356681"/>
    <w:rsid w:val="00357963"/>
    <w:rsid w:val="00362032"/>
    <w:rsid w:val="003673A8"/>
    <w:rsid w:val="003711B1"/>
    <w:rsid w:val="00391E05"/>
    <w:rsid w:val="00392D04"/>
    <w:rsid w:val="003936E1"/>
    <w:rsid w:val="003942D7"/>
    <w:rsid w:val="003A1217"/>
    <w:rsid w:val="003A5F4C"/>
    <w:rsid w:val="003B76D5"/>
    <w:rsid w:val="003C0679"/>
    <w:rsid w:val="003E6EC5"/>
    <w:rsid w:val="00450979"/>
    <w:rsid w:val="004524F7"/>
    <w:rsid w:val="00453700"/>
    <w:rsid w:val="00457B96"/>
    <w:rsid w:val="00473544"/>
    <w:rsid w:val="00482AF2"/>
    <w:rsid w:val="00492ABA"/>
    <w:rsid w:val="00493A15"/>
    <w:rsid w:val="0049523F"/>
    <w:rsid w:val="00495E5F"/>
    <w:rsid w:val="004A455F"/>
    <w:rsid w:val="004A6786"/>
    <w:rsid w:val="004B3D11"/>
    <w:rsid w:val="004E06B4"/>
    <w:rsid w:val="00511F67"/>
    <w:rsid w:val="005240BA"/>
    <w:rsid w:val="0052727C"/>
    <w:rsid w:val="0053094E"/>
    <w:rsid w:val="0053534F"/>
    <w:rsid w:val="00535B51"/>
    <w:rsid w:val="00541229"/>
    <w:rsid w:val="00570272"/>
    <w:rsid w:val="00570611"/>
    <w:rsid w:val="00570755"/>
    <w:rsid w:val="00571DA9"/>
    <w:rsid w:val="00584CCE"/>
    <w:rsid w:val="005A3335"/>
    <w:rsid w:val="005A6466"/>
    <w:rsid w:val="005B084C"/>
    <w:rsid w:val="005D34BB"/>
    <w:rsid w:val="005E0B7A"/>
    <w:rsid w:val="005E22A7"/>
    <w:rsid w:val="005E5DE8"/>
    <w:rsid w:val="005F6185"/>
    <w:rsid w:val="00602007"/>
    <w:rsid w:val="00604DA3"/>
    <w:rsid w:val="00612DDB"/>
    <w:rsid w:val="006445C1"/>
    <w:rsid w:val="006574B7"/>
    <w:rsid w:val="00663331"/>
    <w:rsid w:val="00685BE4"/>
    <w:rsid w:val="006914D9"/>
    <w:rsid w:val="00697EF7"/>
    <w:rsid w:val="006A10D7"/>
    <w:rsid w:val="006A5320"/>
    <w:rsid w:val="006B3818"/>
    <w:rsid w:val="006B460C"/>
    <w:rsid w:val="006F3619"/>
    <w:rsid w:val="00724DA0"/>
    <w:rsid w:val="00747439"/>
    <w:rsid w:val="007643BB"/>
    <w:rsid w:val="00767C5D"/>
    <w:rsid w:val="00773263"/>
    <w:rsid w:val="00773C57"/>
    <w:rsid w:val="00774326"/>
    <w:rsid w:val="00785BA5"/>
    <w:rsid w:val="0079733B"/>
    <w:rsid w:val="007A0356"/>
    <w:rsid w:val="007A5E7D"/>
    <w:rsid w:val="007F071D"/>
    <w:rsid w:val="00813A8D"/>
    <w:rsid w:val="0081790E"/>
    <w:rsid w:val="00817FF8"/>
    <w:rsid w:val="008251E0"/>
    <w:rsid w:val="008262D0"/>
    <w:rsid w:val="0083484C"/>
    <w:rsid w:val="00857B5C"/>
    <w:rsid w:val="00864845"/>
    <w:rsid w:val="00870C5E"/>
    <w:rsid w:val="008D1172"/>
    <w:rsid w:val="008D7D99"/>
    <w:rsid w:val="008F5FAC"/>
    <w:rsid w:val="009263BC"/>
    <w:rsid w:val="00926822"/>
    <w:rsid w:val="009376C6"/>
    <w:rsid w:val="00950726"/>
    <w:rsid w:val="00974843"/>
    <w:rsid w:val="00977931"/>
    <w:rsid w:val="00982FE5"/>
    <w:rsid w:val="009B5AAD"/>
    <w:rsid w:val="009C74B9"/>
    <w:rsid w:val="009D42EA"/>
    <w:rsid w:val="009D56EE"/>
    <w:rsid w:val="009D7456"/>
    <w:rsid w:val="009E7324"/>
    <w:rsid w:val="009F6353"/>
    <w:rsid w:val="00A14CE0"/>
    <w:rsid w:val="00A1749E"/>
    <w:rsid w:val="00A23C9B"/>
    <w:rsid w:val="00A42996"/>
    <w:rsid w:val="00A50F15"/>
    <w:rsid w:val="00A62EEB"/>
    <w:rsid w:val="00A95010"/>
    <w:rsid w:val="00AA16AF"/>
    <w:rsid w:val="00AA24E2"/>
    <w:rsid w:val="00AA5F79"/>
    <w:rsid w:val="00AB3B39"/>
    <w:rsid w:val="00B0472B"/>
    <w:rsid w:val="00B0534C"/>
    <w:rsid w:val="00B15213"/>
    <w:rsid w:val="00B64384"/>
    <w:rsid w:val="00B75CF2"/>
    <w:rsid w:val="00B90D5E"/>
    <w:rsid w:val="00BB02EC"/>
    <w:rsid w:val="00BB399B"/>
    <w:rsid w:val="00BB6A78"/>
    <w:rsid w:val="00BC3A86"/>
    <w:rsid w:val="00BC3C76"/>
    <w:rsid w:val="00BC4347"/>
    <w:rsid w:val="00BC52A1"/>
    <w:rsid w:val="00BF2720"/>
    <w:rsid w:val="00BF79EC"/>
    <w:rsid w:val="00C13664"/>
    <w:rsid w:val="00C14342"/>
    <w:rsid w:val="00C21C05"/>
    <w:rsid w:val="00C25EA1"/>
    <w:rsid w:val="00C30FEF"/>
    <w:rsid w:val="00C341E6"/>
    <w:rsid w:val="00C512A9"/>
    <w:rsid w:val="00C6162B"/>
    <w:rsid w:val="00C628A3"/>
    <w:rsid w:val="00C9630D"/>
    <w:rsid w:val="00CA2768"/>
    <w:rsid w:val="00CA3460"/>
    <w:rsid w:val="00CC38E4"/>
    <w:rsid w:val="00CD383D"/>
    <w:rsid w:val="00CD5407"/>
    <w:rsid w:val="00CE265C"/>
    <w:rsid w:val="00D046F0"/>
    <w:rsid w:val="00D11FD8"/>
    <w:rsid w:val="00D26916"/>
    <w:rsid w:val="00D27565"/>
    <w:rsid w:val="00D540ED"/>
    <w:rsid w:val="00D54AB0"/>
    <w:rsid w:val="00D56881"/>
    <w:rsid w:val="00D61D3F"/>
    <w:rsid w:val="00D76296"/>
    <w:rsid w:val="00D77C6B"/>
    <w:rsid w:val="00D84568"/>
    <w:rsid w:val="00D91C16"/>
    <w:rsid w:val="00D91EB5"/>
    <w:rsid w:val="00D94CD9"/>
    <w:rsid w:val="00DA156B"/>
    <w:rsid w:val="00DB2310"/>
    <w:rsid w:val="00DD34A3"/>
    <w:rsid w:val="00DD6CA3"/>
    <w:rsid w:val="00DF2F2E"/>
    <w:rsid w:val="00E11080"/>
    <w:rsid w:val="00E24F09"/>
    <w:rsid w:val="00E37E75"/>
    <w:rsid w:val="00E47E19"/>
    <w:rsid w:val="00E57BA7"/>
    <w:rsid w:val="00E654FD"/>
    <w:rsid w:val="00EB50E2"/>
    <w:rsid w:val="00EE15AD"/>
    <w:rsid w:val="00EF41E8"/>
    <w:rsid w:val="00F636BC"/>
    <w:rsid w:val="00F661CA"/>
    <w:rsid w:val="00F71120"/>
    <w:rsid w:val="00F83022"/>
    <w:rsid w:val="00F95BD2"/>
    <w:rsid w:val="00FB22FD"/>
    <w:rsid w:val="00FC6439"/>
    <w:rsid w:val="00FE1530"/>
    <w:rsid w:val="00FE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7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83D"/>
  </w:style>
  <w:style w:type="paragraph" w:styleId="a9">
    <w:name w:val="footer"/>
    <w:basedOn w:val="a"/>
    <w:link w:val="aa"/>
    <w:uiPriority w:val="99"/>
    <w:semiHidden/>
    <w:unhideWhenUsed/>
    <w:rsid w:val="00CD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83D"/>
  </w:style>
  <w:style w:type="character" w:styleId="ab">
    <w:name w:val="Placeholder Text"/>
    <w:basedOn w:val="a0"/>
    <w:uiPriority w:val="99"/>
    <w:semiHidden/>
    <w:rsid w:val="00F83022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197F9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7F9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7F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.s.moiseeva\Desktop\&#1057;&#1059;&#1056;&#1043;&#1059;&#1058;\&#1092;&#1077;&#1074;&#1088;&#1072;&#1083;&#1100;,%202014\&#1088;&#1072;&#1089;&#1095;&#1077;&#1090;%20&#1057;&#1091;&#1088;&#1075;&#1091;&#1090;%20&#1092;&#1077;&#1074;&#1088;&#1072;&#1083;&#1100;.xlsx" TargetMode="External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.s.moiseeva\Desktop\&#1057;&#1059;&#1056;&#1043;&#1059;&#1058;\&#1092;&#1077;&#1074;&#1088;&#1072;&#1083;&#1100;,%202014\&#1088;&#1072;&#1089;&#1095;&#1077;&#1090;%20&#1057;&#1091;&#1088;&#1075;&#1091;&#1090;%20&#1092;&#1077;&#1074;&#1088;&#1072;&#1083;&#1100;.xlsx" TargetMode="External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.s.moiseeva\Desktop\&#1057;&#1059;&#1056;&#1043;&#1059;&#1058;\&#1092;&#1077;&#1074;&#1088;&#1072;&#1083;&#1100;,%202014\&#1074;&#1090;&#1086;&#1088;&#1080;&#1095;&#1082;&#1072;%20&#1057;&#1091;&#1088;&#1075;&#1091;&#1090;.xlsx" TargetMode="External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.s.moiseeva\Desktop\&#1057;&#1059;&#1056;&#1043;&#1059;&#1058;\&#1092;&#1077;&#1074;&#1088;&#1072;&#1083;&#1100;,%202014\&#1088;&#1072;&#1089;&#1095;&#1077;&#1090;%20&#1057;&#1091;&#1088;&#1075;&#1091;&#1090;%20&#1092;&#1077;&#1074;&#1088;&#1072;&#1083;&#1100;.xlsx" TargetMode="External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.s.moiseeva\Desktop\&#1057;&#1059;&#1056;&#1043;&#1059;&#1058;\&#1092;&#1077;&#1074;&#1088;&#1072;&#1083;&#1100;,%202014\&#1088;&#1072;&#1089;&#1095;&#1077;&#1090;%20&#1057;&#1091;&#1088;&#1075;&#1091;&#1090;%20&#1092;&#1077;&#1074;&#1088;&#1072;&#1083;&#1100;.xlsx" TargetMode="External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ru-RU" sz="1000">
                <a:latin typeface="Arial" pitchFamily="34" charset="0"/>
                <a:cs typeface="Arial" pitchFamily="34" charset="0"/>
              </a:rPr>
              <a:t>Структура предложения на вторичном рынке по размеру квартир</a:t>
            </a:r>
          </a:p>
        </c:rich>
      </c:tx>
      <c:layout>
        <c:manualLayout>
          <c:xMode val="edge"/>
          <c:yMode val="edge"/>
          <c:x val="9.0123868844752722E-2"/>
          <c:y val="3.3153084780065144E-2"/>
        </c:manualLayout>
      </c:layout>
    </c:title>
    <c:plotArea>
      <c:layout>
        <c:manualLayout>
          <c:layoutTarget val="inner"/>
          <c:xMode val="edge"/>
          <c:yMode val="edge"/>
          <c:x val="0.18419064287186224"/>
          <c:y val="0.17510814538013292"/>
          <c:w val="0.63017709844033065"/>
          <c:h val="0.80320832777258777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структура!$G$39:$G$42</c:f>
              <c:strCache>
                <c:ptCount val="4"/>
                <c:pt idx="0">
                  <c:v>1-комн.</c:v>
                </c:pt>
                <c:pt idx="1">
                  <c:v>2-комн.</c:v>
                </c:pt>
                <c:pt idx="2">
                  <c:v>3-комн.</c:v>
                </c:pt>
                <c:pt idx="3">
                  <c:v>многокомн</c:v>
                </c:pt>
              </c:strCache>
            </c:strRef>
          </c:cat>
          <c:val>
            <c:numRef>
              <c:f>структура!$I$39:$I$42</c:f>
              <c:numCache>
                <c:formatCode>0.00%</c:formatCode>
                <c:ptCount val="4"/>
                <c:pt idx="0">
                  <c:v>0.28769841269841268</c:v>
                </c:pt>
                <c:pt idx="1">
                  <c:v>0.38442460317460453</c:v>
                </c:pt>
                <c:pt idx="2">
                  <c:v>0.23561507936507936</c:v>
                </c:pt>
                <c:pt idx="3">
                  <c:v>9.2261904761904739E-2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/>
          <a:srcRect/>
          <a:stretch>
            <a:fillRect l="26000" t="46000" r="28000" b="45000"/>
          </a:stretch>
        </a:blipFill>
      </c:spPr>
    </c:plotArea>
    <c:plotVisOnly val="1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ru-RU" sz="1000">
                <a:latin typeface="Arial" pitchFamily="34" charset="0"/>
                <a:cs typeface="Arial" pitchFamily="34" charset="0"/>
              </a:rPr>
              <a:t>Структура предложения на вторичном рынке</a:t>
            </a:r>
            <a:r>
              <a:rPr lang="ru-RU" sz="1000" baseline="0">
                <a:latin typeface="Arial" pitchFamily="34" charset="0"/>
                <a:cs typeface="Arial" pitchFamily="34" charset="0"/>
              </a:rPr>
              <a:t> </a:t>
            </a:r>
            <a:r>
              <a:rPr lang="ru-RU" sz="1000">
                <a:latin typeface="Arial" pitchFamily="34" charset="0"/>
                <a:cs typeface="Arial" pitchFamily="34" charset="0"/>
              </a:rPr>
              <a:t>по диапазонам</a:t>
            </a:r>
            <a:r>
              <a:rPr lang="ru-RU" sz="1000" baseline="0">
                <a:latin typeface="Arial" pitchFamily="34" charset="0"/>
                <a:cs typeface="Arial" pitchFamily="34" charset="0"/>
              </a:rPr>
              <a:t> цен в разрезе по размеру квартир</a:t>
            </a:r>
            <a:endParaRPr lang="ru-RU" sz="100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3597550306211723"/>
          <c:y val="4.2619756142522371E-3"/>
        </c:manualLayout>
      </c:layout>
    </c:title>
    <c:plotArea>
      <c:layout>
        <c:manualLayout>
          <c:layoutTarget val="inner"/>
          <c:xMode val="edge"/>
          <c:yMode val="edge"/>
          <c:x val="8.0474406991261016E-2"/>
          <c:y val="0.16121981407842426"/>
          <c:w val="0.89868904027446039"/>
          <c:h val="0.42240441972725473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multiLvlStrRef>
              <c:f>структура!$A$197:$B$225</c:f>
              <c:multiLvlStrCache>
                <c:ptCount val="29"/>
                <c:lvl>
                  <c:pt idx="0">
                    <c:v>2000-2500</c:v>
                  </c:pt>
                  <c:pt idx="1">
                    <c:v>2500-3000</c:v>
                  </c:pt>
                  <c:pt idx="2">
                    <c:v>3000-3500</c:v>
                  </c:pt>
                  <c:pt idx="3">
                    <c:v>3500-4000</c:v>
                  </c:pt>
                  <c:pt idx="4">
                    <c:v>4000-4500</c:v>
                  </c:pt>
                  <c:pt idx="5">
                    <c:v>4500-5000</c:v>
                  </c:pt>
                  <c:pt idx="6">
                    <c:v>более 5000</c:v>
                  </c:pt>
                  <c:pt idx="7">
                    <c:v>2000-2500</c:v>
                  </c:pt>
                  <c:pt idx="8">
                    <c:v>2500-3000</c:v>
                  </c:pt>
                  <c:pt idx="9">
                    <c:v>3000-3500</c:v>
                  </c:pt>
                  <c:pt idx="10">
                    <c:v>3500-4000</c:v>
                  </c:pt>
                  <c:pt idx="11">
                    <c:v>4000-4500</c:v>
                  </c:pt>
                  <c:pt idx="12">
                    <c:v>4500-5000</c:v>
                  </c:pt>
                  <c:pt idx="13">
                    <c:v>5000-5500</c:v>
                  </c:pt>
                  <c:pt idx="14">
                    <c:v>5500-6000</c:v>
                  </c:pt>
                  <c:pt idx="15">
                    <c:v>6000-6500</c:v>
                  </c:pt>
                  <c:pt idx="16">
                    <c:v>6500-7000</c:v>
                  </c:pt>
                  <c:pt idx="17">
                    <c:v>более 7000</c:v>
                  </c:pt>
                  <c:pt idx="18">
                    <c:v>3500-4000</c:v>
                  </c:pt>
                  <c:pt idx="19">
                    <c:v>4000-4500</c:v>
                  </c:pt>
                  <c:pt idx="20">
                    <c:v>4500-5000</c:v>
                  </c:pt>
                  <c:pt idx="21">
                    <c:v>5000-5500</c:v>
                  </c:pt>
                  <c:pt idx="22">
                    <c:v>5500-6000</c:v>
                  </c:pt>
                  <c:pt idx="23">
                    <c:v>6000-6500</c:v>
                  </c:pt>
                  <c:pt idx="24">
                    <c:v>6500-7000</c:v>
                  </c:pt>
                  <c:pt idx="25">
                    <c:v>7000-7500</c:v>
                  </c:pt>
                  <c:pt idx="26">
                    <c:v>7500-8000</c:v>
                  </c:pt>
                  <c:pt idx="27">
                    <c:v>8000-8500</c:v>
                  </c:pt>
                  <c:pt idx="28">
                    <c:v>более 8500</c:v>
                  </c:pt>
                </c:lvl>
                <c:lvl>
                  <c:pt idx="0">
                    <c:v>1-комнатные</c:v>
                  </c:pt>
                  <c:pt idx="7">
                    <c:v>2-комнатные</c:v>
                  </c:pt>
                  <c:pt idx="18">
                    <c:v>3-комнатные</c:v>
                  </c:pt>
                </c:lvl>
              </c:multiLvlStrCache>
            </c:multiLvlStrRef>
          </c:cat>
          <c:val>
            <c:numRef>
              <c:f>структура!$C$197:$C$225</c:f>
              <c:numCache>
                <c:formatCode>0.0</c:formatCode>
                <c:ptCount val="29"/>
                <c:pt idx="0">
                  <c:v>5.6896551724137936</c:v>
                </c:pt>
                <c:pt idx="1">
                  <c:v>20</c:v>
                </c:pt>
                <c:pt idx="2">
                  <c:v>19.310344827586206</c:v>
                </c:pt>
                <c:pt idx="3">
                  <c:v>32.413793103448242</c:v>
                </c:pt>
                <c:pt idx="4">
                  <c:v>14.310344827586219</c:v>
                </c:pt>
                <c:pt idx="5">
                  <c:v>3.7931034482758634</c:v>
                </c:pt>
                <c:pt idx="6">
                  <c:v>4.4827586206896575</c:v>
                </c:pt>
                <c:pt idx="7">
                  <c:v>0.12903225806451613</c:v>
                </c:pt>
                <c:pt idx="8">
                  <c:v>1.4193548387096768</c:v>
                </c:pt>
                <c:pt idx="9">
                  <c:v>7.6129032258064466</c:v>
                </c:pt>
                <c:pt idx="10">
                  <c:v>15.35483870967742</c:v>
                </c:pt>
                <c:pt idx="11">
                  <c:v>18.064516129032256</c:v>
                </c:pt>
                <c:pt idx="12">
                  <c:v>22.064516129032256</c:v>
                </c:pt>
                <c:pt idx="13">
                  <c:v>15.096774193548393</c:v>
                </c:pt>
                <c:pt idx="14">
                  <c:v>8.6451612903225765</c:v>
                </c:pt>
                <c:pt idx="15">
                  <c:v>4.5161290322580667</c:v>
                </c:pt>
                <c:pt idx="16">
                  <c:v>2.193548387096774</c:v>
                </c:pt>
                <c:pt idx="17">
                  <c:v>4.903225806451613</c:v>
                </c:pt>
                <c:pt idx="18">
                  <c:v>1.6842105263157909</c:v>
                </c:pt>
                <c:pt idx="19">
                  <c:v>5.2631578947368416</c:v>
                </c:pt>
                <c:pt idx="20">
                  <c:v>7.1578947368421018</c:v>
                </c:pt>
                <c:pt idx="21">
                  <c:v>9.0526315789473824</c:v>
                </c:pt>
                <c:pt idx="22">
                  <c:v>19.578947368421041</c:v>
                </c:pt>
                <c:pt idx="23">
                  <c:v>21.263157894736828</c:v>
                </c:pt>
                <c:pt idx="24">
                  <c:v>16.421052631578931</c:v>
                </c:pt>
                <c:pt idx="25">
                  <c:v>4.2105263157894735</c:v>
                </c:pt>
                <c:pt idx="26">
                  <c:v>4.2105263157894735</c:v>
                </c:pt>
                <c:pt idx="27">
                  <c:v>2.5263157894736827</c:v>
                </c:pt>
                <c:pt idx="28">
                  <c:v>8.6315789473684159</c:v>
                </c:pt>
              </c:numCache>
            </c:numRef>
          </c:val>
        </c:ser>
        <c:gapWidth val="0"/>
        <c:axId val="68657152"/>
        <c:axId val="68658688"/>
      </c:barChart>
      <c:catAx>
        <c:axId val="686571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68658688"/>
        <c:crosses val="autoZero"/>
        <c:auto val="1"/>
        <c:lblAlgn val="ctr"/>
        <c:lblOffset val="100"/>
      </c:catAx>
      <c:valAx>
        <c:axId val="6865868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ru-RU" sz="800">
                    <a:latin typeface="Arial" pitchFamily="34" charset="0"/>
                    <a:cs typeface="Arial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1.9975031210986281E-2"/>
              <c:y val="7.4455007505332779E-2"/>
            </c:manualLayout>
          </c:layout>
        </c:title>
        <c:numFmt formatCode="0.0" sourceLinked="1"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68657152"/>
        <c:crosses val="autoZero"/>
        <c:crossBetween val="between"/>
      </c:valAx>
      <c:spPr>
        <a:blipFill dpi="0" rotWithShape="1">
          <a:blip xmlns:r="http://schemas.openxmlformats.org/officeDocument/2006/relationships" r:embed="rId1"/>
          <a:srcRect/>
          <a:stretch>
            <a:fillRect l="26000" t="37000" r="31000" b="37000"/>
          </a:stretch>
        </a:blipFill>
      </c:spPr>
    </c:plotArea>
    <c:plotVisOnly val="1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Динамика удельной цены предложения на вторичном рынке</a:t>
            </a:r>
            <a:r>
              <a:rPr lang="en-US" sz="1000"/>
              <a:t> </a:t>
            </a:r>
            <a:endParaRPr lang="ru-RU" sz="1000"/>
          </a:p>
        </c:rich>
      </c:tx>
      <c:layout>
        <c:manualLayout>
          <c:xMode val="edge"/>
          <c:yMode val="edge"/>
          <c:x val="0.16099821746880574"/>
          <c:y val="2.2882559143194349E-2"/>
        </c:manualLayout>
      </c:layout>
    </c:title>
    <c:plotArea>
      <c:layout>
        <c:manualLayout>
          <c:layoutTarget val="inner"/>
          <c:xMode val="edge"/>
          <c:yMode val="edge"/>
          <c:x val="0.10768943593242182"/>
          <c:y val="0.1657088283811852"/>
          <c:w val="0.81957910495845054"/>
          <c:h val="0.53919991544681156"/>
        </c:manualLayout>
      </c:layout>
      <c:barChart>
        <c:barDir val="col"/>
        <c:grouping val="clustered"/>
        <c:ser>
          <c:idx val="1"/>
          <c:order val="1"/>
          <c:tx>
            <c:strRef>
              <c:f>Лист2!$H$41</c:f>
              <c:strCache>
                <c:ptCount val="1"/>
                <c:pt idx="0">
                  <c:v>Темп прироста к предыдущему месяцу, %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delete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delete val="1"/>
            </c:dLbl>
            <c:dLbl>
              <c:idx val="23"/>
              <c:delete val="1"/>
            </c:dLbl>
            <c:dLbl>
              <c:idx val="24"/>
              <c:layout>
                <c:manualLayout>
                  <c:x val="3.6101083032490974E-2"/>
                  <c:y val="-2.23713646532439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</a:t>
                    </a:r>
                    <a:r>
                      <a:rPr lang="ru-RU"/>
                      <a:t>0,76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Лист2!$I$35:$AG$35</c:f>
              <c:numCache>
                <c:formatCode>mmm/yy</c:formatCode>
                <c:ptCount val="25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</c:numCache>
            </c:numRef>
          </c:cat>
          <c:val>
            <c:numRef>
              <c:f>Лист2!$I$41:$AH$41</c:f>
              <c:numCache>
                <c:formatCode>0.00</c:formatCode>
                <c:ptCount val="26"/>
                <c:pt idx="1">
                  <c:v>3.4086119342574372</c:v>
                </c:pt>
                <c:pt idx="2">
                  <c:v>1.0727790895183915</c:v>
                </c:pt>
                <c:pt idx="3">
                  <c:v>0.85695980434476948</c:v>
                </c:pt>
                <c:pt idx="4">
                  <c:v>1.372850296963634</c:v>
                </c:pt>
                <c:pt idx="5">
                  <c:v>1.8469952234321738</c:v>
                </c:pt>
                <c:pt idx="6">
                  <c:v>0.16459450568208922</c:v>
                </c:pt>
                <c:pt idx="7">
                  <c:v>2.3079958184659435</c:v>
                </c:pt>
                <c:pt idx="8">
                  <c:v>2.2923983806071111</c:v>
                </c:pt>
                <c:pt idx="9">
                  <c:v>2.7779211237186843</c:v>
                </c:pt>
                <c:pt idx="10">
                  <c:v>0.90839800917153468</c:v>
                </c:pt>
                <c:pt idx="11">
                  <c:v>1.513314733548583</c:v>
                </c:pt>
                <c:pt idx="12">
                  <c:v>1.6640254916978141</c:v>
                </c:pt>
                <c:pt idx="13">
                  <c:v>1.2912058348170361</c:v>
                </c:pt>
                <c:pt idx="14">
                  <c:v>0.49524517303144938</c:v>
                </c:pt>
                <c:pt idx="15">
                  <c:v>0.56377987684858744</c:v>
                </c:pt>
                <c:pt idx="16">
                  <c:v>0.47960507360052418</c:v>
                </c:pt>
                <c:pt idx="17">
                  <c:v>-0.77859696157283054</c:v>
                </c:pt>
                <c:pt idx="18">
                  <c:v>0.69126239825270286</c:v>
                </c:pt>
                <c:pt idx="19">
                  <c:v>-0.42711629415119035</c:v>
                </c:pt>
                <c:pt idx="20">
                  <c:v>-0.12351917354443742</c:v>
                </c:pt>
                <c:pt idx="21">
                  <c:v>-1.0264770363707942</c:v>
                </c:pt>
                <c:pt idx="22">
                  <c:v>-0.57714226870143648</c:v>
                </c:pt>
                <c:pt idx="23">
                  <c:v>-0.38366265024470236</c:v>
                </c:pt>
                <c:pt idx="24">
                  <c:v>-0.44058001101716132</c:v>
                </c:pt>
                <c:pt idx="25">
                  <c:v>-0.7591873497819811</c:v>
                </c:pt>
              </c:numCache>
            </c:numRef>
          </c:val>
        </c:ser>
        <c:gapWidth val="300"/>
        <c:axId val="82654720"/>
        <c:axId val="82653184"/>
      </c:barChart>
      <c:lineChart>
        <c:grouping val="standard"/>
        <c:ser>
          <c:idx val="0"/>
          <c:order val="0"/>
          <c:tx>
            <c:strRef>
              <c:f>Лист2!$H$40</c:f>
              <c:strCache>
                <c:ptCount val="1"/>
                <c:pt idx="0">
                  <c:v>Удельная цена предложения, руб./кв.м.</c:v>
                </c:pt>
              </c:strCache>
            </c:strRef>
          </c:tx>
          <c:spPr>
            <a:ln w="15875"/>
          </c:spPr>
          <c:marker>
            <c:symbol val="circle"/>
            <c:size val="7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delete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delete val="1"/>
            </c:dLbl>
            <c:dLbl>
              <c:idx val="23"/>
              <c:delete val="1"/>
            </c:dLbl>
            <c:txPr>
              <a:bodyPr rot="-2280000"/>
              <a:lstStyle/>
              <a:p>
                <a:pPr>
                  <a:defRPr sz="800"/>
                </a:pPr>
                <a:endParaRPr lang="ru-RU"/>
              </a:p>
            </c:txPr>
            <c:dLblPos val="t"/>
            <c:showVal val="1"/>
          </c:dLbls>
          <c:cat>
            <c:numRef>
              <c:f>Лист2!$I$35:$AH$35</c:f>
              <c:numCache>
                <c:formatCode>mmm/yy</c:formatCode>
                <c:ptCount val="26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</c:numCache>
            </c:numRef>
          </c:cat>
          <c:val>
            <c:numRef>
              <c:f>Лист2!$I$40:$AH$40</c:f>
              <c:numCache>
                <c:formatCode>0</c:formatCode>
                <c:ptCount val="26"/>
                <c:pt idx="0">
                  <c:v>71274.144930373848</c:v>
                </c:pt>
                <c:pt idx="1">
                  <c:v>73703.603940510511</c:v>
                </c:pt>
                <c:pt idx="2">
                  <c:v>74494.280791805781</c:v>
                </c:pt>
                <c:pt idx="3">
                  <c:v>75132.666834727279</c:v>
                </c:pt>
                <c:pt idx="4">
                  <c:v>76164.125874484525</c:v>
                </c:pt>
                <c:pt idx="5">
                  <c:v>77570.873641355123</c:v>
                </c:pt>
                <c:pt idx="6">
                  <c:v>77698.551037378391</c:v>
                </c:pt>
                <c:pt idx="7">
                  <c:v>79491.830346329618</c:v>
                </c:pt>
                <c:pt idx="8">
                  <c:v>81314.099777903917</c:v>
                </c:pt>
                <c:pt idx="9">
                  <c:v>83572.941332195973</c:v>
                </c:pt>
                <c:pt idx="10">
                  <c:v>84332.116267463643</c:v>
                </c:pt>
                <c:pt idx="11">
                  <c:v>85608.326608052608</c:v>
                </c:pt>
                <c:pt idx="12">
                  <c:v>87032.870985826448</c:v>
                </c:pt>
                <c:pt idx="13">
                  <c:v>88156.644494204404</c:v>
                </c:pt>
                <c:pt idx="14">
                  <c:v>88593.236020768352</c:v>
                </c:pt>
                <c:pt idx="15">
                  <c:v>89092.706857702302</c:v>
                </c:pt>
                <c:pt idx="16" formatCode="General">
                  <c:v>89520</c:v>
                </c:pt>
                <c:pt idx="17" formatCode="General">
                  <c:v>88823</c:v>
                </c:pt>
                <c:pt idx="18" formatCode="General">
                  <c:v>89437</c:v>
                </c:pt>
                <c:pt idx="19" formatCode="General">
                  <c:v>89055</c:v>
                </c:pt>
                <c:pt idx="20" formatCode="General">
                  <c:v>88945</c:v>
                </c:pt>
                <c:pt idx="21" formatCode="General">
                  <c:v>88032</c:v>
                </c:pt>
                <c:pt idx="22">
                  <c:v>87523.930118016739</c:v>
                </c:pt>
                <c:pt idx="23">
                  <c:v>87188.133488127642</c:v>
                </c:pt>
                <c:pt idx="24" formatCode="General">
                  <c:v>86804</c:v>
                </c:pt>
                <c:pt idx="25">
                  <c:v>86144.995012895364</c:v>
                </c:pt>
              </c:numCache>
            </c:numRef>
          </c:val>
        </c:ser>
        <c:hiLowLines/>
        <c:marker val="1"/>
        <c:axId val="73990144"/>
        <c:axId val="73992064"/>
      </c:lineChart>
      <c:dateAx>
        <c:axId val="73990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1"/>
                  <a:t>%</a:t>
                </a:r>
              </a:p>
            </c:rich>
          </c:tx>
          <c:layout>
            <c:manualLayout>
              <c:xMode val="edge"/>
              <c:yMode val="edge"/>
              <c:x val="0.94627160909699171"/>
              <c:y val="8.7640085257799205E-2"/>
            </c:manualLayout>
          </c:layout>
        </c:title>
        <c:numFmt formatCode="mmm/yy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3992064"/>
        <c:crosses val="autoZero"/>
        <c:auto val="1"/>
        <c:lblOffset val="100"/>
      </c:dateAx>
      <c:valAx>
        <c:axId val="7399206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b="0"/>
                  <a:t>руб./кв.м</a:t>
                </a:r>
                <a:r>
                  <a:rPr lang="ru-RU" b="1"/>
                  <a:t>.</a:t>
                </a:r>
              </a:p>
            </c:rich>
          </c:tx>
          <c:layout>
            <c:manualLayout>
              <c:xMode val="edge"/>
              <c:yMode val="edge"/>
              <c:x val="8.8144062206127932E-5"/>
              <c:y val="8.2872342299494597E-2"/>
            </c:manualLayout>
          </c:layout>
        </c:title>
        <c:numFmt formatCode="0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3990144"/>
        <c:crosses val="autoZero"/>
        <c:crossBetween val="between"/>
      </c:valAx>
      <c:valAx>
        <c:axId val="82653184"/>
        <c:scaling>
          <c:orientation val="minMax"/>
        </c:scaling>
        <c:axPos val="r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2654720"/>
        <c:crosses val="max"/>
        <c:crossBetween val="between"/>
      </c:valAx>
      <c:dateAx>
        <c:axId val="82654720"/>
        <c:scaling>
          <c:orientation val="minMax"/>
        </c:scaling>
        <c:delete val="1"/>
        <c:axPos val="b"/>
        <c:numFmt formatCode="mmm/yy" sourceLinked="1"/>
        <c:tickLblPos val="none"/>
        <c:crossAx val="82653184"/>
        <c:crosses val="autoZero"/>
        <c:auto val="1"/>
        <c:lblOffset val="100"/>
      </c:dateAx>
      <c:spPr>
        <a:blipFill dpi="0" rotWithShape="1">
          <a:blip xmlns:r="http://schemas.openxmlformats.org/officeDocument/2006/relationships" r:embed="rId1"/>
          <a:srcRect/>
          <a:stretch>
            <a:fillRect l="27000" t="44000" r="25000" b="33000"/>
          </a:stretch>
        </a:blipFill>
      </c:spPr>
    </c:plotArea>
    <c:legend>
      <c:legendPos val="b"/>
      <c:layout>
        <c:manualLayout>
          <c:xMode val="edge"/>
          <c:yMode val="edge"/>
          <c:x val="6.5447434044006774E-3"/>
          <c:y val="0.85767759946037614"/>
          <c:w val="0.99145957022751841"/>
          <c:h val="0.1423223942644754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Удельная цена предложения на вторичном рынке по размеру квартир</a:t>
            </a:r>
          </a:p>
        </c:rich>
      </c:tx>
      <c:layout>
        <c:manualLayout>
          <c:xMode val="edge"/>
          <c:yMode val="edge"/>
          <c:x val="0.13285212544308217"/>
          <c:y val="2.6936026936026935E-2"/>
        </c:manualLayout>
      </c:layout>
    </c:title>
    <c:plotArea>
      <c:layout>
        <c:manualLayout>
          <c:layoutTarget val="inner"/>
          <c:xMode val="edge"/>
          <c:yMode val="edge"/>
          <c:x val="0.15671252414202969"/>
          <c:y val="0.21941385785274903"/>
          <c:w val="0.71006196390399667"/>
          <c:h val="0.57439271034516914"/>
        </c:manualLayout>
      </c:layout>
      <c:barChart>
        <c:barDir val="col"/>
        <c:grouping val="clustered"/>
        <c:ser>
          <c:idx val="0"/>
          <c:order val="0"/>
          <c:tx>
            <c:strRef>
              <c:f>цена!$A$92</c:f>
              <c:strCache>
                <c:ptCount val="1"/>
                <c:pt idx="0">
                  <c:v>Удельная цена предложения, руб./кв.м.</c:v>
                </c:pt>
              </c:strCache>
            </c:strRef>
          </c:tx>
          <c:dLbls>
            <c:dLbl>
              <c:idx val="1"/>
              <c:layout>
                <c:manualLayout>
                  <c:x val="8.2474226804123679E-3"/>
                  <c:y val="2.2446689113355751E-2"/>
                </c:manualLayout>
              </c:layout>
              <c:showVal val="1"/>
            </c:dLbl>
            <c:dLbl>
              <c:idx val="2"/>
              <c:layout>
                <c:manualLayout>
                  <c:x val="5.4982817869417009E-3"/>
                  <c:y val="2.2446689113355751E-2"/>
                </c:manualLayout>
              </c:layout>
              <c:showVal val="1"/>
            </c:dLbl>
            <c:dLbl>
              <c:idx val="3"/>
              <c:layout>
                <c:manualLayout>
                  <c:x val="1.0996563573883159E-2"/>
                  <c:y val="2.6936026936026935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цена!$A$85:$A$88</c:f>
              <c:strCache>
                <c:ptCount val="4"/>
                <c:pt idx="0">
                  <c:v>1-комн.</c:v>
                </c:pt>
                <c:pt idx="1">
                  <c:v>2-комн.</c:v>
                </c:pt>
                <c:pt idx="2">
                  <c:v>3-комн.</c:v>
                </c:pt>
                <c:pt idx="3">
                  <c:v>многокомн</c:v>
                </c:pt>
              </c:strCache>
            </c:strRef>
          </c:cat>
          <c:val>
            <c:numRef>
              <c:f>цена!$B$85:$B$88</c:f>
              <c:numCache>
                <c:formatCode>0</c:formatCode>
                <c:ptCount val="4"/>
                <c:pt idx="0">
                  <c:v>90448.821388362674</c:v>
                </c:pt>
                <c:pt idx="1">
                  <c:v>85366.087041609018</c:v>
                </c:pt>
                <c:pt idx="2">
                  <c:v>84899.216294285972</c:v>
                </c:pt>
                <c:pt idx="3">
                  <c:v>79723.849779319455</c:v>
                </c:pt>
              </c:numCache>
            </c:numRef>
          </c:val>
        </c:ser>
        <c:axId val="82767872"/>
        <c:axId val="82769792"/>
      </c:barChart>
      <c:lineChart>
        <c:grouping val="standard"/>
        <c:ser>
          <c:idx val="1"/>
          <c:order val="1"/>
          <c:tx>
            <c:strRef>
              <c:f>цена!$A$91</c:f>
              <c:strCache>
                <c:ptCount val="1"/>
                <c:pt idx="0">
                  <c:v>Темп прироста к предыдущему месяцу, %</c:v>
                </c:pt>
              </c:strCache>
            </c:strRef>
          </c:tx>
          <c:spPr>
            <a:ln w="15875"/>
          </c:spPr>
          <c:marker>
            <c:symbol val="circle"/>
            <c:size val="5"/>
          </c:marker>
          <c:dLbls>
            <c:dLbl>
              <c:idx val="0"/>
              <c:layout>
                <c:manualLayout>
                  <c:x val="-4.6735395189003437E-2"/>
                  <c:y val="5.387205387205387E-2"/>
                </c:manualLayout>
              </c:layout>
              <c:showVal val="1"/>
            </c:dLbl>
            <c:dLbl>
              <c:idx val="1"/>
              <c:layout>
                <c:manualLayout>
                  <c:x val="-4.1237113402061876E-2"/>
                  <c:y val="-4.9382716049383824E-2"/>
                </c:manualLayout>
              </c:layout>
              <c:showVal val="1"/>
            </c:dLbl>
            <c:dLbl>
              <c:idx val="2"/>
              <c:layout>
                <c:manualLayout>
                  <c:x val="-5.4982817869416001E-2"/>
                  <c:y val="5.387205387205387E-2"/>
                </c:manualLayout>
              </c:layout>
              <c:showVal val="1"/>
            </c:dLbl>
            <c:dLbl>
              <c:idx val="3"/>
              <c:layout>
                <c:manualLayout>
                  <c:x val="-4.1237113402061855E-2"/>
                  <c:y val="-4.0404040404040414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val>
            <c:numRef>
              <c:f>цена!$D$85:$D$88</c:f>
              <c:numCache>
                <c:formatCode>0.00</c:formatCode>
                <c:ptCount val="4"/>
                <c:pt idx="0">
                  <c:v>-0.42075790384046791</c:v>
                </c:pt>
                <c:pt idx="1">
                  <c:v>-0.94098536545821787</c:v>
                </c:pt>
                <c:pt idx="2">
                  <c:v>-0.86036679166937802</c:v>
                </c:pt>
                <c:pt idx="3">
                  <c:v>0.54463221929023553</c:v>
                </c:pt>
              </c:numCache>
            </c:numRef>
          </c:val>
          <c:smooth val="1"/>
        </c:ser>
        <c:marker val="1"/>
        <c:axId val="82802176"/>
        <c:axId val="82800640"/>
      </c:lineChart>
      <c:catAx>
        <c:axId val="827678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en-US" sz="900" b="0"/>
                  <a:t>%</a:t>
                </a:r>
                <a:endParaRPr lang="ru-RU" sz="900" b="0"/>
              </a:p>
            </c:rich>
          </c:tx>
          <c:layout>
            <c:manualLayout>
              <c:xMode val="edge"/>
              <c:yMode val="edge"/>
              <c:x val="0.91452146783538868"/>
              <c:y val="0.1289707758862158"/>
            </c:manualLayout>
          </c:layout>
        </c:title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2769792"/>
        <c:crosses val="autoZero"/>
        <c:auto val="1"/>
        <c:lblAlgn val="ctr"/>
        <c:lblOffset val="100"/>
      </c:catAx>
      <c:valAx>
        <c:axId val="8276979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0"/>
                  <a:t>руб./кв.м</a:t>
                </a:r>
                <a:r>
                  <a:rPr lang="ru-RU"/>
                  <a:t>.</a:t>
                </a:r>
              </a:p>
            </c:rich>
          </c:tx>
          <c:layout>
            <c:manualLayout>
              <c:xMode val="edge"/>
              <c:yMode val="edge"/>
              <c:x val="6.597929975734175E-2"/>
              <c:y val="0.10493957030074798"/>
            </c:manualLayout>
          </c:layout>
        </c:title>
        <c:numFmt formatCode="0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2767872"/>
        <c:crosses val="autoZero"/>
        <c:crossBetween val="between"/>
      </c:valAx>
      <c:valAx>
        <c:axId val="82800640"/>
        <c:scaling>
          <c:orientation val="minMax"/>
        </c:scaling>
        <c:axPos val="r"/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2802176"/>
        <c:crosses val="max"/>
        <c:crossBetween val="between"/>
      </c:valAx>
      <c:catAx>
        <c:axId val="82802176"/>
        <c:scaling>
          <c:orientation val="minMax"/>
        </c:scaling>
        <c:delete val="1"/>
        <c:axPos val="b"/>
        <c:tickLblPos val="none"/>
        <c:crossAx val="82800640"/>
        <c:crosses val="autoZero"/>
        <c:auto val="1"/>
        <c:lblAlgn val="ctr"/>
        <c:lblOffset val="100"/>
      </c:catAx>
      <c:spPr>
        <a:blipFill dpi="0" rotWithShape="1">
          <a:blip xmlns:r="http://schemas.openxmlformats.org/officeDocument/2006/relationships" r:embed="rId1"/>
          <a:srcRect/>
          <a:stretch>
            <a:fillRect l="13000" t="32000" r="22000" b="42000"/>
          </a:stretch>
        </a:blipFill>
      </c:spPr>
    </c:plotArea>
    <c:legend>
      <c:legendPos val="b"/>
      <c:layout>
        <c:manualLayout>
          <c:xMode val="edge"/>
          <c:yMode val="edge"/>
          <c:x val="0"/>
          <c:y val="0.90355707423364529"/>
          <c:w val="1"/>
          <c:h val="6.810439261130094E-2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ru-RU" sz="1000">
                <a:latin typeface="Arial" pitchFamily="34" charset="0"/>
                <a:cs typeface="Arial" pitchFamily="34" charset="0"/>
              </a:rPr>
              <a:t>Удельная</a:t>
            </a:r>
            <a:r>
              <a:rPr lang="ru-RU" sz="1000" baseline="0">
                <a:latin typeface="Arial" pitchFamily="34" charset="0"/>
                <a:cs typeface="Arial" pitchFamily="34" charset="0"/>
              </a:rPr>
              <a:t> цена предложения на вторичном рынке  по районам города</a:t>
            </a:r>
            <a:endParaRPr lang="ru-RU" sz="100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7138728029366698"/>
          <c:y val="1.7182121285753301E-2"/>
        </c:manualLayout>
      </c:layout>
    </c:title>
    <c:plotArea>
      <c:layout>
        <c:manualLayout>
          <c:layoutTarget val="inner"/>
          <c:xMode val="edge"/>
          <c:yMode val="edge"/>
          <c:x val="0.14792302895839676"/>
          <c:y val="0.14776619589218049"/>
          <c:w val="0.73228095106896152"/>
          <c:h val="0.40891355247260758"/>
        </c:manualLayout>
      </c:layout>
      <c:barChart>
        <c:barDir val="col"/>
        <c:grouping val="clustered"/>
        <c:ser>
          <c:idx val="0"/>
          <c:order val="0"/>
          <c:tx>
            <c:strRef>
              <c:f>цена!$A$25</c:f>
              <c:strCache>
                <c:ptCount val="1"/>
                <c:pt idx="0">
                  <c:v>Удельная цена предложения, руб./кв.м.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цена!$A$18:$A$21</c:f>
              <c:strCache>
                <c:ptCount val="4"/>
                <c:pt idx="0">
                  <c:v>Северо-Восточный жилой</c:v>
                </c:pt>
                <c:pt idx="1">
                  <c:v>Северный жилой</c:v>
                </c:pt>
                <c:pt idx="2">
                  <c:v>Центральный</c:v>
                </c:pt>
                <c:pt idx="3">
                  <c:v>Восточный</c:v>
                </c:pt>
              </c:strCache>
            </c:strRef>
          </c:cat>
          <c:val>
            <c:numRef>
              <c:f>цена!$B$18:$B$21</c:f>
              <c:numCache>
                <c:formatCode>0</c:formatCode>
                <c:ptCount val="4"/>
                <c:pt idx="0">
                  <c:v>88014.064531028678</c:v>
                </c:pt>
                <c:pt idx="1">
                  <c:v>86131.74362667797</c:v>
                </c:pt>
                <c:pt idx="2">
                  <c:v>85883.822287667092</c:v>
                </c:pt>
                <c:pt idx="3">
                  <c:v>85490.477812241967</c:v>
                </c:pt>
              </c:numCache>
            </c:numRef>
          </c:val>
        </c:ser>
        <c:axId val="84331904"/>
        <c:axId val="87365120"/>
      </c:barChart>
      <c:lineChart>
        <c:grouping val="standard"/>
        <c:ser>
          <c:idx val="1"/>
          <c:order val="1"/>
          <c:tx>
            <c:strRef>
              <c:f>цена!$A$24</c:f>
              <c:strCache>
                <c:ptCount val="1"/>
                <c:pt idx="0">
                  <c:v>Темп прироста к предыдущему месяцу, %</c:v>
                </c:pt>
              </c:strCache>
            </c:strRef>
          </c:tx>
          <c:spPr>
            <a:ln w="15875"/>
          </c:spPr>
          <c:marker>
            <c:symbol val="circle"/>
            <c:size val="6"/>
          </c:marker>
          <c:dLbls>
            <c:dLbl>
              <c:idx val="4"/>
              <c:layout>
                <c:manualLayout>
                  <c:x val="3.292181069958848E-2"/>
                  <c:y val="-6.5292060885861494E-2"/>
                </c:manualLayout>
              </c:layout>
              <c:dLblPos val="b"/>
              <c:showVal val="1"/>
            </c:dLbl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b"/>
            <c:showVal val="1"/>
          </c:dLbls>
          <c:val>
            <c:numRef>
              <c:f>цена!$D$18:$D$21</c:f>
              <c:numCache>
                <c:formatCode>0.00</c:formatCode>
                <c:ptCount val="4"/>
                <c:pt idx="0">
                  <c:v>-1.332842470512418</c:v>
                </c:pt>
                <c:pt idx="1">
                  <c:v>-0.73442862464936864</c:v>
                </c:pt>
                <c:pt idx="2">
                  <c:v>-0.57786568229030932</c:v>
                </c:pt>
                <c:pt idx="3">
                  <c:v>-0.71714845050173959</c:v>
                </c:pt>
              </c:numCache>
            </c:numRef>
          </c:val>
          <c:smooth val="1"/>
        </c:ser>
        <c:marker val="1"/>
        <c:axId val="87385216"/>
        <c:axId val="87367040"/>
      </c:lineChart>
      <c:catAx>
        <c:axId val="843319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ru-RU" sz="900">
                    <a:latin typeface="Arial" pitchFamily="34" charset="0"/>
                    <a:cs typeface="Arial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2432094136381104"/>
              <c:y val="7.3525949873664051E-2"/>
            </c:manualLayout>
          </c:layout>
        </c:title>
        <c:maj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87365120"/>
        <c:crosses val="autoZero"/>
        <c:auto val="1"/>
        <c:lblAlgn val="ctr"/>
        <c:lblOffset val="100"/>
      </c:catAx>
      <c:valAx>
        <c:axId val="87365120"/>
        <c:scaling>
          <c:orientation val="minMax"/>
          <c:max val="95000"/>
          <c:min val="4500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sz="900" b="0">
                    <a:latin typeface="Arial" pitchFamily="34" charset="0"/>
                    <a:cs typeface="Arial" pitchFamily="34" charset="0"/>
                  </a:defRPr>
                </a:pPr>
                <a:r>
                  <a:rPr lang="ru-RU" sz="900" b="0">
                    <a:latin typeface="Arial" pitchFamily="34" charset="0"/>
                    <a:cs typeface="Arial" pitchFamily="34" charset="0"/>
                  </a:rPr>
                  <a:t>руб./кв.м.</a:t>
                </a:r>
              </a:p>
            </c:rich>
          </c:tx>
          <c:layout>
            <c:manualLayout>
              <c:xMode val="edge"/>
              <c:yMode val="edge"/>
              <c:x val="7.0546737213403904E-2"/>
              <c:y val="6.7296551507670332E-2"/>
            </c:manualLayout>
          </c:layout>
        </c:title>
        <c:numFmt formatCode="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84331904"/>
        <c:crosses val="autoZero"/>
        <c:crossBetween val="between"/>
        <c:majorUnit val="10000"/>
      </c:valAx>
      <c:valAx>
        <c:axId val="87367040"/>
        <c:scaling>
          <c:orientation val="minMax"/>
          <c:max val="5"/>
          <c:min val="-4.5"/>
        </c:scaling>
        <c:axPos val="r"/>
        <c:numFmt formatCode="0.0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87385216"/>
        <c:crosses val="max"/>
        <c:crossBetween val="between"/>
        <c:majorUnit val="1"/>
      </c:valAx>
      <c:catAx>
        <c:axId val="87385216"/>
        <c:scaling>
          <c:orientation val="minMax"/>
        </c:scaling>
        <c:delete val="1"/>
        <c:axPos val="b"/>
        <c:tickLblPos val="none"/>
        <c:crossAx val="87367040"/>
        <c:crosses val="autoZero"/>
        <c:auto val="1"/>
        <c:lblAlgn val="ctr"/>
        <c:lblOffset val="100"/>
      </c:catAx>
      <c:spPr>
        <a:blipFill dpi="0" rotWithShape="1">
          <a:blip xmlns:r="http://schemas.openxmlformats.org/officeDocument/2006/relationships" r:embed="rId1"/>
          <a:srcRect/>
          <a:stretch>
            <a:fillRect l="20000" t="34000" r="24000" b="42000"/>
          </a:stretch>
        </a:blipFill>
      </c:spPr>
    </c:plotArea>
    <c:legend>
      <c:legendPos val="b"/>
      <c:layout>
        <c:manualLayout>
          <c:xMode val="edge"/>
          <c:yMode val="edge"/>
          <c:x val="5.3145208700763683E-3"/>
          <c:y val="0.89608132316793676"/>
          <c:w val="0.9823162845385065"/>
          <c:h val="8.3299920843228042E-2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AC61-DEFF-4CE9-A55D-7D4EB080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e.s.ershova</cp:lastModifiedBy>
  <cp:revision>2</cp:revision>
  <cp:lastPrinted>2013-12-12T05:04:00Z</cp:lastPrinted>
  <dcterms:created xsi:type="dcterms:W3CDTF">2014-03-18T12:19:00Z</dcterms:created>
  <dcterms:modified xsi:type="dcterms:W3CDTF">2014-03-18T12:19:00Z</dcterms:modified>
</cp:coreProperties>
</file>