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C7" w:rsidRPr="007E0EC7" w:rsidRDefault="007E0EC7" w:rsidP="007E0EC7">
      <w:pPr>
        <w:textAlignment w:val="baseline"/>
        <w:outlineLvl w:val="0"/>
        <w:rPr>
          <w:rFonts w:ascii="Arial" w:eastAsia="Times New Roman" w:hAnsi="Arial" w:cs="Arial"/>
          <w:b/>
          <w:bCs/>
          <w:color w:val="00284B"/>
          <w:kern w:val="36"/>
          <w:sz w:val="38"/>
          <w:szCs w:val="38"/>
          <w:lang w:eastAsia="ru-RU"/>
        </w:rPr>
      </w:pPr>
      <w:r w:rsidRPr="007E0EC7">
        <w:rPr>
          <w:rFonts w:ascii="Arial" w:eastAsia="Times New Roman" w:hAnsi="Arial" w:cs="Arial"/>
          <w:b/>
          <w:bCs/>
          <w:color w:val="00284B"/>
          <w:kern w:val="36"/>
          <w:sz w:val="38"/>
          <w:szCs w:val="38"/>
          <w:lang w:eastAsia="ru-RU"/>
        </w:rPr>
        <w:t>Конференция ИЭГ «Новая повестка развития российских городов» состоялась 15 сентября 2017 года в Москве</w:t>
      </w:r>
    </w:p>
    <w:p w:rsidR="007E0EC7" w:rsidRPr="007E0EC7" w:rsidRDefault="007E0EC7" w:rsidP="007E0EC7">
      <w:pPr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18EC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" name="Рисунок 1" descr="http://www.urbaneconomics.ru/sites/default/files/styles/350/public/img/preview_site_news.jpg?itok=-tkao8Os">
              <a:hlinkClick xmlns:a="http://schemas.openxmlformats.org/drawingml/2006/main" r:id="rId4" tooltip="&quot;Конференция ИЭГ «Новая повестка развития российских городов» состоялась 15 сентября 2017 года в Москв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baneconomics.ru/sites/default/files/styles/350/public/img/preview_site_news.jpg?itok=-tkao8Os">
                      <a:hlinkClick r:id="rId4" tooltip="&quot;Конференция ИЭГ «Новая повестка развития российских городов» состоялась 15 сентября 2017 года в Москв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Фонд «Институт экономики города» 15 сентября 2017 года провел Конференцию «Новая повестка развития российских городов». Более 150 человек стали ее участниками 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–</w:t>
      </w: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 это эксперты из Москвы, Санкт-Петербурга, Перми, Екатеринбурга, Уфы, Ижевска, Новосибирска, Южно-Сахалинска и других регионов России, которые представляют органы государственной власти и местного самоуправления, бизнеса, независимые ассоциации и аналитические центры, а также средства массовой информации.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Ключевой темой конференции стало обсуждение роли российских городов и агломераций в экономическом развитии страны, необходимых мер по усилению их самостоятельности и финансовой независимости. Этой теме был посвящен основной доклад председателя Комитета гражданских инициатив, председателя совета Центра стратегических разработок А.Л. Кудрина.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А.Л. Кудрин в своем докладе рассказал о предложениях по новой модели городской политики, поскольку именно крупные города и агломерации могут стать драйверами экономического роста.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Он подчеркнул, что курс на повышение вклада агломераций и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миллионников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в экономический рост не должен полностью отменять программ поддержки средних и малых городов, а также отметил, что в ближайшие годы перспективы роста экономики городов и агломераций могут быть выше, чем в среднем по стране (5-7% прироста против 3-4% в среднем по стране).</w:t>
      </w:r>
      <w:proofErr w:type="gramEnd"/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13"/>
        <w:gridCol w:w="3212"/>
        <w:gridCol w:w="3212"/>
      </w:tblGrid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2" name="Рисунок 2" descr="http://www.urbaneconomics.ru/sites/default/files/styles/gallery/public/gallery/20170915no2533.jpg?itok=0jH2WV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rbaneconomics.ru/sites/default/files/styles/gallery/public/gallery/20170915no2533.jpg?itok=0jH2WV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3" name="Рисунок 3" descr="http://www.urbaneconomics.ru/sites/default/files/styles/gallery/public/gallery/20170915no2784.jpg?itok=Ay4tJG4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rbaneconomics.ru/sites/default/files/styles/gallery/public/gallery/20170915no2784.jpg?itok=Ay4tJG4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4" name="Рисунок 4" descr="http://www.urbaneconomics.ru/sites/default/files/styles/gallery/public/gallery/20170915no2051.jpg?itok=qqLACX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rbaneconomics.ru/sites/default/files/styles/gallery/public/gallery/20170915no2051.jpg?itok=qqLACX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 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Обсуждение данных вопросов было продолжено в рамках </w:t>
      </w: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первой экспертной сессии «Роль городов и агломераций в экономическом развитии», 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модератором которой выступил Е.Г. Ясин, научный руководитель НИУ «Высшая школа экономики».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Выступление в рамках этой сессии Н.Б. Косаревой, президента Фонда «Институт экономики города» (ИЭГ), было посвящено результатам исследования экспертов ИЭГ потенциала экономического роста на территориях крупных российских городов и агломераций и необходимым мерам по расширению их полномочий и финансовой базы для развития. Эксперт подчеркнула негативный характер перераспределения полномочий от городов к регионам и, напротив, предложила не только вернуть городам такие полномочия, но и расширить сферы их ответственности. Наибольший объем полномочий необходимо предоставить 18 самым крупным муниципальным образованиям – городам - центрам крупнейших городских агломераций. Также необходимо сформировать систему межмуниципального управления для решения общих вопросов на территориях этих и еще двух крупнейших агломераций – Московской и Санкт-Петербургской. Для пополнения бюджетных ресурсов крупных городов и в целях активизации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экономических процессов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на их территориях ИЭГ предложил передать им налог на имущество организаций, а также предоставлять крупным городам и агломерациям дополнительные федеральные целевые трансферты на конкурсной основе. В конечном счете, экономический ро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ст в кр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упных городах позволит создать в стране ресурсы для поддержки других городов и сельских населенных пунктов, – подвела итог Н.Б. Косарева.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Важным моментом стало участие в обсуждении представителей крупных региональных центров. С докладом о развитии городов и агломераций выступил А.А.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Корюков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заместитель главы Администрации города Екатеринбурга, который подчеркнул важность расширения полномочий городов в наиболее важных сферах их влияния; об эффективном взаимодействии регионов и муниципалитетов, в том числе в целях привлечения инвестиций, рассказал П.А. Носков, первый заместитель Министра экономического развития и инвестиций Пермского края, подчеркнув необходимость повышения финансовой заинтересованности городов в стимулировании эффективных инвестиционных решений.  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lastRenderedPageBreak/>
        <w:t>Свою позицию по вопросам пространственной политики, городской специализации, местного самоуправления осветили другие ведущие эксперты в области экономического развития городов и регионов. Так, М.Э. Дмитриев, президент хозяйственного партнерства «Новый экономический рост», представил результаты оценки динамики пространственной концентрации промышленных предприятий за весь период развития рыночных отношений, которая показывает явное тяготение крупного и среднего бизнеса к крупным агломерациям, предоставляющим привлекательные условия для бизнеса. Л.Э. Лимонов, директор-координатор научно-исследовательских программ ЗАО МЦСЭИ «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Леонтьевский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центр», рассказал о кластерном анализе городов и коснулся также важных теоретических аспектов развития городов и агломераций. Э.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Маркварт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, президент Европейского клуба экспертов местного самоуправления, в своем докладе указал на основные тенденции в сфере правовых условий для развития местного самоуправления, которые пока скорее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дестимулируют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а не содействуют местным инициативам.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13"/>
        <w:gridCol w:w="3212"/>
        <w:gridCol w:w="3212"/>
      </w:tblGrid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5" name="Рисунок 5" descr="http://www.urbaneconomics.ru/sites/default/files/styles/gallery/public/gallery/20170915no3404.jpg?itok=rX14HJ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rbaneconomics.ru/sites/default/files/styles/gallery/public/gallery/20170915no3404.jpg?itok=rX14HJ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6" name="Рисунок 6" descr="http://www.urbaneconomics.ru/sites/default/files/styles/gallery/public/gallery/20170915no3190.jpg?itok=Wqhy4_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rbaneconomics.ru/sites/default/files/styles/gallery/public/gallery/20170915no3190.jpg?itok=Wqhy4_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7" name="Рисунок 7" descr="http://www.urbaneconomics.ru/sites/default/files/styles/gallery/public/gallery/20170915no3441.jpg?itok=7UVkGW9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rbaneconomics.ru/sites/default/files/styles/gallery/public/gallery/20170915no3441.jpg?itok=7UVkGW9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 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proofErr w:type="gramStart"/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Вторая экспертная сессия «Градостроительное развитие городов и преобразование российских территорий»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 была посвящена обсуждению правовых и экономических аспектов реализации программ и проектов городского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редевелопмента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лучших практик российских и зарубежных городов, новых приоритетов и инструментов градостроительной политики в области повышения качества городской среды.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Модератором сессии выступил А.М.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Чернецкий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первый заместитель председателя Комитета Совета Федерации по федеративному устройству, региональной политике, местному самоуправлению и делам Севера.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Т.Д.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Полиди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, исполнительный директор Фонда «Институт экономики города», посвятила свое выступление проблемам и задачам градостроительного развития российских городов, в том числе обосновала важность развития экономического инструментария в сфере управления земельной рентой, что позволит повысить независимость городов (в том числе от инвестиционных интересов) при проведении публичной градостроительной политики.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Также Т.Д.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Полиди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остановилась на типичных для всех городов прикладных проблемах регенерации территорий, отметив необходимость выработки новых практических подходов к установлению конкретных требований к  качеству городской среды при преобразовании застроенных территорий в градостроительных документах, поиска решения по уплотнению улично-дорожной сети с учетом неоднородной застройки, а также необходимость расширения спектра целей таких преобразований – не только ликвидация устаревшей застройки, но и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повышение разнообразия жилья, потребительских и бизнес услуг в городах.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С.И. Лёвкин, руководитель Департамента градостроительной политики города Москвы, рассказал о новых стандартах качества городской среды и жилья в рамках программы реновации жилищного фонда в Москве. В частности, он отметил не только повышение качества жилищного фонда на территориях реновации, но и новые возможности для роста малого бизнеса, изменения маршрутов общественного транспорта, которые станут более удобными, и использования высокотехнологичных систем учета потребления электричества, тепла и воды, которые избавят жильцов от необходимости самостоятельно снимать показания со счетчиков.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Н.Н. Антипина, статс-секретарь, заместитель Министра строительства и жилищно-коммунального хозяйства Российской Федерации, рассказала об улучшении предпринимательского климата в сфере градостроительной деятельности. Она отметила, что количество административных процедур в строительстве уже сократилось, многие из них переведены в электронную форму, а к концу 2017 года исчерпывающий перечень процедур в сфере жилищного строительства может сократиться со 134 процедур (на момент утверждения перечня в 2014 г.) до 107 процедур. Отмечается повышение удовлетворенности деятельностью уполномоченных органов, которые выдают разрешение на строительство: по пятибалльной шкале удовлетворенность составляет 4,3 балла, — сообщила Н.Н. Антипина. Вместе с тем Н.Н. Антипина особо отметила важность стратегической задачи по сокращению сроков прохождения процедур как приоритета перед «необоснованным» сокращением их количества, так как осуществление должного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контроля за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строительными процессами является главенствующей задачей государственного регулирования.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Другие эксперты, выступившие на сессии, рассказали о практике развития застроенных территорий (В.Ю. Альперович, советник губернатора Сахалинской области), о предварительных итогах реализации региональных программ переселения из аварийного жилищного фонда  (О.С.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Рурин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, заместитель генерального директора Фонда содействия реформированию жилищно-коммунального хозяйства), об образовании в области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урбанистики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и градостроительства (А.В. Новиков, декан Высшей школы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урбанистики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имени А.А.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Высоковского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НИУ ВШЭ).</w:t>
      </w:r>
      <w:proofErr w:type="gramEnd"/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13"/>
        <w:gridCol w:w="3212"/>
        <w:gridCol w:w="3212"/>
      </w:tblGrid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7440" cy="1638300"/>
                  <wp:effectExtent l="19050" t="0" r="3810" b="0"/>
                  <wp:docPr id="8" name="Рисунок 8" descr="http://www.urbaneconomics.ru/sites/default/files/styles/gallery/public/gallery/20170915no4027.jpg?itok=MmNByb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rbaneconomics.ru/sites/default/files/styles/gallery/public/gallery/20170915no4027.jpg?itok=MmNByb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9" name="Рисунок 9" descr="http://www.urbaneconomics.ru/sites/default/files/styles/gallery/public/gallery/20170915no4165.jpg?itok=POPLxX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rbaneconomics.ru/sites/default/files/styles/gallery/public/gallery/20170915no4165.jpg?itok=POPLxX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10" name="Рисунок 10" descr="http://www.urbaneconomics.ru/sites/default/files/styles/gallery/public/gallery/20170915no4306.jpg?itok=ttwUOy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rbaneconomics.ru/sites/default/files/styles/gallery/public/gallery/20170915no4306.jpg?itok=ttwUOy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 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В рамках </w:t>
      </w: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третьей экспертной сессии «Жилищное строительство и разнообразие форм удовлетворения жилищной потребности»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модератором которой выступила Н.Б. Косарева, обсуждались изменения законодательного регулирования долевого строительства жилья, новые направления жилищной политики по созданию для граждан доступных жилищных альтернатив, в том числе практики реализации региональных программ и механизмов финансирования арендного жилья, обеспечения жильем очередников.</w:t>
      </w:r>
      <w:proofErr w:type="gramEnd"/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Н.П. Николаев, председатель Комитета Государственной Думы по природным ресурсам, собственности и земельным отношения, осветил основные цели изменения законодательного регулирования долевого строительства жилья. Главная цель — это усиление ответственности застройщиков, которые привлекают средства граждан. По словам депутата,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эффективное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правоприменение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нового регулирования в долевом строительстве позволит решить 90% проблем дольщиков за три года. Участники Конференции также получили возможность услышать мнение о реформировании сферы долевого строительства от одного из крупнейших региональных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девелоперов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— А.Н. Круковского, руководителя компании «Брусника», который предложил при регулировании застройщиков ориентироваться на банковское регулирование. Выступления Н.П. Николаева и А.Н. Круковского вызвали оживленную дискуссию о принципах нахождения баланса между интересами застройщиков и покупателей жилья.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Выступление Г.В. Полторака, вице-президента Российской гильдии риэлторов, президента ГК «</w:t>
      </w:r>
      <w:proofErr w:type="spellStart"/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БЕСТ-Недвижимости</w:t>
      </w:r>
      <w:proofErr w:type="spellEnd"/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», было посвящено актуальной задаче развития цивилизованного найма жилья. Эксперт рассказал, какие возможности открывает для граждан, города и бизнеса развитие такой новой для российского жилищного рынка формы удовлетворения жилищной потребности граждан.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К.М.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Захарин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, управляющий директор АО «Агентство ипотечного жилищного кредитования», кратко представил основные программы единого института развития в жилищной сфере. Г.С. Невоструев, генеральный директор Фонда развития жилищного строительства Республики Башкортостан, рассказал о подходах, которые применяются в регионе для обеспечения жильем очередников, а также поставил вопрос об учете при совершенствовании законодательного регулирования долевого строительства специфики </w:t>
      </w:r>
      <w:proofErr w:type="spellStart"/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застройщиков-некоммерческих</w:t>
      </w:r>
      <w:proofErr w:type="spellEnd"/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организаций, создаваемых органами публичной власти в целях решения жилищных проблем отдельных категорий граждан.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В заключение экспертной сессии А.С. Пузанов, генеральный директор Фонда «Институт экономики города», поделился опытом построения ИЭГ жилищных балансов Российской Федерации и Москвы, которые позволяют проводить жилищную политику, более сбалансированную по основным параметрам и дифференцированную в зависимости от ситуации в каждом конкретном городе и регионе.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13"/>
        <w:gridCol w:w="3212"/>
        <w:gridCol w:w="3212"/>
      </w:tblGrid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11" name="Рисунок 11" descr="http://www.urbaneconomics.ru/sites/default/files/styles/gallery/public/gallery/20170915no4739.jpg?itok=XpqPV5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rbaneconomics.ru/sites/default/files/styles/gallery/public/gallery/20170915no4739.jpg?itok=XpqPV5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12" name="Рисунок 12" descr="http://www.urbaneconomics.ru/sites/default/files/styles/gallery/public/gallery/20170915no4841.jpg?itok=4d1a69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rbaneconomics.ru/sites/default/files/styles/gallery/public/gallery/20170915no4841.jpg?itok=4d1a69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638300"/>
                  <wp:effectExtent l="19050" t="0" r="3810" b="0"/>
                  <wp:docPr id="13" name="Рисунок 13" descr="http://www.urbaneconomics.ru/sites/default/files/styles/gallery/public/gallery/20170915no4929.jpg?itok=hyat3_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rbaneconomics.ru/sites/default/files/styles/gallery/public/gallery/20170915no4929.jpg?itok=hyat3_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 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Завершающая четвертая экспертная секция 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—</w:t>
      </w: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 «Управление городской инфраструктурой и благоустройство городов</w:t>
      </w:r>
      <w:proofErr w:type="gramStart"/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»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б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ыла посвящена вопросам новых приоритетов по повышению благоустроенности российских городов и качества жилищного фонда, созданию современной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безбарьерной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среды, развитию инструментов привлечения частных инвестиций и банковского финансирования в жилищную и коммунальную сферы. Модератором сессии выступил В.А. Лесной, старший вице-президент АКБ «Российский капитал».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Об основных задачах в области благоустройства российских городов  рассказал А.Г. Сидякин, первый заместитель председателя комитета Государственной Думы по жилищной политике и жилищно-коммунальному хозяйству. Депутат подчеркнул особую важность реализации приоритетного проекта «Формирование комфортной городской среды», реализация которого началась в российских городах.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Вопросам благоустройства городских территорий также были посвящены доклады заместителя Председателя общественно-делового совета проекта «ЖКХ и городская среда», члена правления Национальной инициативы «Живые </w:t>
      </w: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lastRenderedPageBreak/>
        <w:t xml:space="preserve">города» А.В. Батурина и вице-президента Национального благотворительного фонда поддержки работ по адаптации городской среды для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маломобильных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групп населения «Город без барьеров» С.В. Чистого.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А.В. Батурин подчеркнул важность вовлечения граждан в принятие решений и реализацию проектов по модернизации городской среды, поскольку, по мнению эксперта, городская среда – это, прежде всего, коммуникации, позволяющие развивать традиции и общую культуру жизни на данной территории Вместе с проектированием объектов нужно проектировать социальные сценарии, комфортная городская сред заключается, в значительной степени, в создании для людей возможности оказывать друг другу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разного рода услуги и сервисы. С.В. 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Чистый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рассказал о зарубежном опыте по созданию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безбарьерной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городской среды и указал на возможность избежать в России ряда ошибок, которые были совершены в других странах.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И.В.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Генцлер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, заместитель директора направления «Городское хозяйство» Фонда «Институт экономики города», представила концептуальные предложения ИЭГ, направленные на совершенствование управления многоквартирными домами путем расширения прав и повышения ответственности сособственников общего имущества в таких домах. Д.Р.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Новомейская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, начальник Управления жилищного хозяйства Министерства энергетики и жилищно-коммунального хозяйства Удмуртской Республики, рассказала об одном из первых опытов организации проведения капитального ремонта в многоквартирных домах с использованием заемных средств.</w:t>
      </w:r>
    </w:p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Вопросам привлечения инвестиций в  коммунальный сектор на основе концессионных соглашений был посвящен доклад С.В. Касаткина, первого заместителя главного управляющего директор</w:t>
      </w:r>
      <w:proofErr w:type="gram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а ООО</w:t>
      </w:r>
      <w:proofErr w:type="gram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«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НОВОГОР-Прикамье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». Директор направления «Городское хозяйство» Фонда «Институт экономики города» В.Ю. Прокофьев анонсировал результаты оценки открытости предприятий водоснабжения и водоотведения для инвесторов, которая была проведена экспертами ИЭГ в 2016 и 2017 гг.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Участники  конференции получили возможность первыми ознакомиться с новым выпуском «Городского альманаха» Фонда «Институт экономики города», который посвящен наиболее актуальным вопросам городской экономики и муниципального управления, в том числе в жилищной политике и коммунальной сферах, секторе жилищного строительства и </w:t>
      </w:r>
      <w:proofErr w:type="spellStart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градоустройства</w:t>
      </w:r>
      <w:proofErr w:type="spellEnd"/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 xml:space="preserve"> территорий. Конференция была проведена за счет средств </w:t>
      </w:r>
      <w:hyperlink r:id="rId18" w:anchor="page-title" w:tgtFrame="_blank" w:history="1">
        <w:r w:rsidRPr="007E0EC7">
          <w:rPr>
            <w:rFonts w:ascii="inherit" w:eastAsia="Times New Roman" w:hAnsi="inherit" w:cs="Arial"/>
            <w:color w:val="018EC2"/>
            <w:sz w:val="17"/>
            <w:lang w:eastAsia="ru-RU"/>
          </w:rPr>
          <w:t>Целевого капитала Фонда «Институт экономики города»</w:t>
        </w:r>
      </w:hyperlink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. Городской альманах также был подготовлен и опубликован  за счет средств Целевого капитала Фонда «Институт экономики города».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Фонд «Институт экономики города» благодарит всех участников Конференции за участие, содержательные доклады и обсуждение. Мы выражаем особую признательность жертвователям сре</w:t>
      </w:r>
      <w:proofErr w:type="gramStart"/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дств в Ц</w:t>
      </w:r>
      <w:proofErr w:type="gramEnd"/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елевой капитал Фонда «Институт экономики города», которые дают нам возможность не только проводить научные исследования по актуальным вопросам развития городов, но и делиться результатами таких исследований с экспертным сообществом, органами государственной власти и местного самоуправления, бизнес ассоциациями и общественными организациями.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t>ПРЕЗЕНТАЦИИ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921"/>
        <w:gridCol w:w="7679"/>
      </w:tblGrid>
      <w:tr w:rsidR="007E0EC7" w:rsidRPr="007E0EC7" w:rsidTr="007E0EC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r w:rsidRPr="007E0EC7">
              <w:rPr>
                <w:rFonts w:ascii="inherit" w:eastAsia="Times New Roman" w:hAnsi="inherit" w:cs="Arial"/>
                <w:b/>
                <w:bCs/>
                <w:color w:val="4B4D4A"/>
                <w:sz w:val="17"/>
                <w:lang w:eastAsia="ru-RU"/>
              </w:rPr>
              <w:t>Экспертная сессия "Роль городов и агломераций в экономическом развитии"</w:t>
            </w:r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Н.Б. Косарева: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Крупные города и агломерации как драйверы экономического развития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М.Э.Дмитриев:</w:t>
            </w:r>
            <w:r w:rsidRPr="007E0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Анализ потенциала экономического роста за счет факторов городского развития и рекомендации для пространственной политики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Л.Э. Лимонов:</w:t>
            </w:r>
            <w:r w:rsidRPr="007E0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Агломерационные эффекты, специализация и типы российских городов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Маркварт</w:t>
            </w:r>
            <w:proofErr w:type="spellEnd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hyperlink r:id="rId22" w:tgtFrame="_blank" w:history="1"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>Актуальное законодательство о местном самоуправлении и практика его реализации как институциональные барьеры на пути развития городов</w:t>
              </w:r>
            </w:hyperlink>
          </w:p>
        </w:tc>
      </w:tr>
      <w:tr w:rsidR="007E0EC7" w:rsidRPr="007E0EC7" w:rsidTr="007E0EC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r w:rsidRPr="007E0EC7">
              <w:rPr>
                <w:rFonts w:ascii="inherit" w:eastAsia="Times New Roman" w:hAnsi="inherit" w:cs="Arial"/>
                <w:b/>
                <w:bCs/>
                <w:color w:val="4B4D4A"/>
                <w:sz w:val="17"/>
                <w:lang w:eastAsia="ru-RU"/>
              </w:rPr>
              <w:t>Экспертная сессия "Градостроительное развитие городов и преобразование городских территорий"</w:t>
            </w:r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Т.Д. </w:t>
            </w:r>
            <w:proofErr w:type="spellStart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Полиди</w:t>
            </w:r>
            <w:proofErr w:type="spellEnd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Проблемы и задачи градостроительного развития российских городов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Н.Н. Антипина: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Улучшение предпринимательского климата в сфере градостроительной деятельности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В.Ю.Альперович: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Практика развития застроенных территорий: проблемы и возможные решения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Рурин</w:t>
            </w:r>
            <w:proofErr w:type="spellEnd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Предварительные итоги реализации региональных программ переселения граждан из аварийного жилищного фонда и возможные механизмы реализации новых программ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А.В. Новиков: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hyperlink r:id="rId27" w:tgtFrame="_blank" w:history="1"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 xml:space="preserve">Задачи образования в области </w:t>
              </w:r>
              <w:proofErr w:type="spellStart"/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>урбанистики</w:t>
              </w:r>
              <w:proofErr w:type="spellEnd"/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 xml:space="preserve"> и градостроительства</w:t>
              </w:r>
            </w:hyperlink>
          </w:p>
        </w:tc>
      </w:tr>
      <w:tr w:rsidR="007E0EC7" w:rsidRPr="007E0EC7" w:rsidTr="007E0EC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r w:rsidRPr="007E0EC7">
              <w:rPr>
                <w:rFonts w:ascii="inherit" w:eastAsia="Times New Roman" w:hAnsi="inherit" w:cs="Arial"/>
                <w:b/>
                <w:bCs/>
                <w:color w:val="4B4D4A"/>
                <w:sz w:val="17"/>
                <w:lang w:eastAsia="ru-RU"/>
              </w:rPr>
              <w:t>Экспертная сессия "Жилищное строительство и разнообразие форм удовлетворения жилищной потребности"</w:t>
            </w:r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Г.С. Невоструев: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Подходы к решению жилищных проблем очередников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А.С. Пузанов:</w:t>
            </w:r>
            <w:r w:rsidRPr="007E0E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hyperlink r:id="rId29" w:tgtFrame="_blank" w:history="1"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>Жилищный баланс городов и агломераций как инструмент разработки и реализации жилищной политики</w:t>
              </w:r>
            </w:hyperlink>
          </w:p>
        </w:tc>
      </w:tr>
      <w:tr w:rsidR="007E0EC7" w:rsidRPr="007E0EC7" w:rsidTr="007E0EC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r w:rsidRPr="007E0EC7">
              <w:rPr>
                <w:rFonts w:ascii="inherit" w:eastAsia="Times New Roman" w:hAnsi="inherit" w:cs="Arial"/>
                <w:b/>
                <w:bCs/>
                <w:color w:val="4B4D4A"/>
                <w:sz w:val="17"/>
                <w:lang w:eastAsia="ru-RU"/>
              </w:rPr>
              <w:t>Экспертная сессия "Управление городской инфраструктурой и благоустройство городов"</w:t>
            </w:r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Генцлер</w:t>
            </w:r>
            <w:proofErr w:type="spellEnd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Совершенствование управления многоквартирными домами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Д.Р.Новомейская</w:t>
            </w:r>
            <w:proofErr w:type="spellEnd"/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textAlignment w:val="baseline"/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</w:pPr>
            <w:hyperlink r:id="rId31" w:tgtFrame="_blank" w:history="1"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>Опыт Удмуртской Республики в организации проведения капитального ремонта в многоквартирных домах с использованием заемных средств</w:t>
              </w:r>
            </w:hyperlink>
            <w:r w:rsidRPr="007E0EC7">
              <w:rPr>
                <w:rFonts w:ascii="Arial" w:eastAsia="Times New Roman" w:hAnsi="Arial" w:cs="Arial"/>
                <w:color w:val="4B4D4A"/>
                <w:sz w:val="17"/>
                <w:szCs w:val="17"/>
                <w:lang w:eastAsia="ru-RU"/>
              </w:rPr>
              <w:br/>
            </w:r>
            <w:hyperlink r:id="rId32" w:tgtFrame="_blank" w:history="1">
              <w:r w:rsidRPr="007E0EC7">
                <w:rPr>
                  <w:rFonts w:ascii="inherit" w:eastAsia="Times New Roman" w:hAnsi="inherit" w:cs="Arial"/>
                  <w:color w:val="018EC2"/>
                  <w:sz w:val="17"/>
                  <w:lang w:eastAsia="ru-RU"/>
                </w:rPr>
                <w:t>Видео по теме капремонта многоквартирных домов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А.В. Батурин: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Благоустройство российских городов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С.В. Чистый: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 xml:space="preserve">Зарубежный опыт формирования </w:t>
              </w:r>
              <w:proofErr w:type="spellStart"/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безбарьерной</w:t>
              </w:r>
              <w:proofErr w:type="spellEnd"/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 xml:space="preserve"> городской среды: уроки первых 30 лет развития</w:t>
              </w:r>
            </w:hyperlink>
          </w:p>
        </w:tc>
      </w:tr>
      <w:tr w:rsidR="007E0EC7" w:rsidRPr="007E0EC7" w:rsidTr="007E0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0EC7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В.Ю. Прокофьев: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C7" w:rsidRPr="007E0EC7" w:rsidRDefault="007E0EC7" w:rsidP="007E0E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7E0EC7">
                <w:rPr>
                  <w:rFonts w:ascii="inherit" w:eastAsia="Times New Roman" w:hAnsi="inherit" w:cs="Times New Roman"/>
                  <w:color w:val="018EC2"/>
                  <w:sz w:val="24"/>
                  <w:szCs w:val="24"/>
                  <w:lang w:eastAsia="ru-RU"/>
                </w:rPr>
                <w:t>Открытость предприятий водоснабжения и водоотведения для инвесторов</w:t>
              </w:r>
            </w:hyperlink>
          </w:p>
        </w:tc>
      </w:tr>
    </w:tbl>
    <w:p w:rsidR="007E0EC7" w:rsidRPr="007E0EC7" w:rsidRDefault="007E0EC7" w:rsidP="007E0EC7">
      <w:pPr>
        <w:spacing w:after="192"/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Arial" w:eastAsia="Times New Roman" w:hAnsi="Arial" w:cs="Arial"/>
          <w:color w:val="4B4D4A"/>
          <w:sz w:val="17"/>
          <w:szCs w:val="17"/>
          <w:lang w:eastAsia="ru-RU"/>
        </w:rPr>
        <w:t> </w:t>
      </w:r>
    </w:p>
    <w:p w:rsidR="007E0EC7" w:rsidRPr="007E0EC7" w:rsidRDefault="007E0EC7" w:rsidP="007E0EC7">
      <w:pPr>
        <w:textAlignment w:val="baseline"/>
        <w:rPr>
          <w:rFonts w:ascii="Arial" w:eastAsia="Times New Roman" w:hAnsi="Arial" w:cs="Arial"/>
          <w:color w:val="4B4D4A"/>
          <w:sz w:val="17"/>
          <w:szCs w:val="17"/>
          <w:lang w:eastAsia="ru-RU"/>
        </w:rPr>
      </w:pPr>
      <w:r w:rsidRPr="007E0EC7">
        <w:rPr>
          <w:rFonts w:ascii="inherit" w:eastAsia="Times New Roman" w:hAnsi="inherit" w:cs="Arial"/>
          <w:b/>
          <w:bCs/>
          <w:color w:val="4B4D4A"/>
          <w:sz w:val="17"/>
          <w:lang w:eastAsia="ru-RU"/>
        </w:rPr>
        <w:lastRenderedPageBreak/>
        <w:t>КЛЮЧЕВЫЕ ПУБЛИКАЦИИ ПО ИТОГАМ КОНФЕРЕНЦИИ ИЭГ 2017</w:t>
      </w:r>
    </w:p>
    <w:p w:rsidR="00A734BA" w:rsidRDefault="00A734BA"/>
    <w:sectPr w:rsidR="00A734BA" w:rsidSect="00281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0EC7"/>
    <w:rsid w:val="002813A1"/>
    <w:rsid w:val="00332914"/>
    <w:rsid w:val="007E0EC7"/>
    <w:rsid w:val="00A734BA"/>
    <w:rsid w:val="00F4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BA"/>
  </w:style>
  <w:style w:type="paragraph" w:styleId="1">
    <w:name w:val="heading 1"/>
    <w:basedOn w:val="a"/>
    <w:link w:val="10"/>
    <w:uiPriority w:val="9"/>
    <w:qFormat/>
    <w:rsid w:val="007E0E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0E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E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EC7"/>
    <w:rPr>
      <w:b/>
      <w:bCs/>
    </w:rPr>
  </w:style>
  <w:style w:type="character" w:styleId="a6">
    <w:name w:val="Emphasis"/>
    <w:basedOn w:val="a0"/>
    <w:uiPriority w:val="20"/>
    <w:qFormat/>
    <w:rsid w:val="007E0E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0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924">
          <w:marLeft w:val="0"/>
          <w:marRight w:val="420"/>
          <w:marTop w:val="6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urbaneconomics.ru/klientam-i-grantodatelyam/celevoy-kapital" TargetMode="External"/><Relationship Id="rId26" Type="http://schemas.openxmlformats.org/officeDocument/2006/relationships/hyperlink" Target="http://www.urbaneconomics.ru/sites/default/files/2_rurino.s._pereselenie_grazhdan_iz_avariynogo_zhilishchnogo_fond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baneconomics.ru/sites/default/files/1_limonovl.e._aglomeracionnye_effektypdf.pdf" TargetMode="External"/><Relationship Id="rId34" Type="http://schemas.openxmlformats.org/officeDocument/2006/relationships/hyperlink" Target="http://www.urbaneconomics.ru/sites/default/files/4_chistyysv_zarubezhnyy_opyt_bezbarernoy_sredy.pdf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www.urbaneconomics.ru/sites/default/files/2_alperovich_v.yu_.praktika_razvitiya_zastroennyh_territoriypdf.pdf" TargetMode="External"/><Relationship Id="rId33" Type="http://schemas.openxmlformats.org/officeDocument/2006/relationships/hyperlink" Target="http://www.urbaneconomics.ru/sites/default/files/4_baturina.v._blagoustroystvo_rossiyskih_gorodovpdf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http://www.urbaneconomics.ru/sites/default/files/1_dmitrievm.e._analiz_potenciala_ekonomicheskogo_rostapdf.pdf" TargetMode="External"/><Relationship Id="rId29" Type="http://schemas.openxmlformats.org/officeDocument/2006/relationships/hyperlink" Target="http://www.urbaneconomics.ru/sites/default/files/3_puzanov_balans_gorodov_i_aglomeraciypdf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urbaneconomics.ru/sites/default/files/2_antipinan.n._uluchshenie_predprinimatelskogo_klimata_v_sfere_gradostroitelnoy_deyatelnostipdf.pdf" TargetMode="External"/><Relationship Id="rId32" Type="http://schemas.openxmlformats.org/officeDocument/2006/relationships/hyperlink" Target="http://www.urbaneconomics.ru/sites/default/files/05_09_17_v_izhevske_nachali_menyat_lifty_v_zhilyh_vysotkah.mp4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urbaneconomics.ru/sites/default/files/2_polidit.d._problemy_i_zadachi_gradostroitelnogo_razvitiya_rossiyskih_gorodovpdf.pdf" TargetMode="External"/><Relationship Id="rId28" Type="http://schemas.openxmlformats.org/officeDocument/2006/relationships/hyperlink" Target="http://www.urbaneconomics.ru/sites/default/files/3_nevostruevg.s._reshenie_zhilishchnyh_problem_ocherednikov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urbaneconomics.ru/sites/default/files/1_kosarevan.b._krupnye_goroda_i_aglomeracii_kak_drayvery_ekonomicheskogo_razvitiyapdf.pdf" TargetMode="External"/><Relationship Id="rId31" Type="http://schemas.openxmlformats.org/officeDocument/2006/relationships/hyperlink" Target="http://www.urbaneconomics.ru/sites/default/files/4_novomeyskayad.r._kapremont_mnogokvartirnyh_domovpdf.pdf" TargetMode="External"/><Relationship Id="rId4" Type="http://schemas.openxmlformats.org/officeDocument/2006/relationships/hyperlink" Target="http://www.urbaneconomics.ru/sites/default/files/img/preview_site_news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urbaneconomics.ru/sites/default/files/1_markvarte._rossiyskoe_zakonodatelstvo_o_msu_pdf.pdf" TargetMode="External"/><Relationship Id="rId27" Type="http://schemas.openxmlformats.org/officeDocument/2006/relationships/hyperlink" Target="http://www.urbaneconomics.ru/sites/default/files/2_novikova.v._problemy_i_zadachi_gradostroitelnogo_obrazovaniyapdf.pdf" TargetMode="External"/><Relationship Id="rId30" Type="http://schemas.openxmlformats.org/officeDocument/2006/relationships/hyperlink" Target="http://www.urbaneconomics.ru/sites/default/files/4_gencler_upravlenie_mnogokvartirnymi_domamipdf.pdf" TargetMode="External"/><Relationship Id="rId35" Type="http://schemas.openxmlformats.org/officeDocument/2006/relationships/hyperlink" Target="http://www.urbaneconomics.ru/sites/default/files/4_prokofev_informacionnaya_otkrytost_dlya_investorov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2949</Words>
  <Characters>16813</Characters>
  <Application>Microsoft Office Word</Application>
  <DocSecurity>0</DocSecurity>
  <Lines>140</Lines>
  <Paragraphs>39</Paragraphs>
  <ScaleCrop>false</ScaleCrop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2017-09-21T23:23:00Z</dcterms:created>
  <dcterms:modified xsi:type="dcterms:W3CDTF">2017-09-21T23:23:00Z</dcterms:modified>
</cp:coreProperties>
</file>