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F9" w:rsidRDefault="00FC5F14" w:rsidP="0034380B">
      <w:pPr>
        <w:spacing w:after="0"/>
        <w:jc w:val="center"/>
        <w:rPr>
          <w:rFonts w:ascii="Times New Roman" w:hAnsi="Times New Roman"/>
          <w:b/>
          <w:caps/>
          <w:color w:val="404040"/>
          <w:sz w:val="24"/>
          <w:szCs w:val="24"/>
        </w:rPr>
      </w:pPr>
      <w:r>
        <w:rPr>
          <w:rFonts w:ascii="Times New Roman" w:hAnsi="Times New Roman"/>
          <w:b/>
          <w:caps/>
          <w:color w:val="404040"/>
          <w:sz w:val="24"/>
          <w:szCs w:val="24"/>
        </w:rPr>
        <w:t>о Соответствии</w:t>
      </w:r>
      <w:r w:rsidR="005D5CB3">
        <w:rPr>
          <w:rFonts w:ascii="Times New Roman" w:hAnsi="Times New Roman"/>
          <w:b/>
          <w:caps/>
          <w:color w:val="404040"/>
          <w:sz w:val="24"/>
          <w:szCs w:val="24"/>
        </w:rPr>
        <w:t xml:space="preserve"> </w:t>
      </w:r>
      <w:r w:rsidR="003E1A3B">
        <w:rPr>
          <w:rFonts w:ascii="Times New Roman" w:hAnsi="Times New Roman"/>
          <w:b/>
          <w:caps/>
          <w:color w:val="404040"/>
          <w:sz w:val="24"/>
          <w:szCs w:val="24"/>
        </w:rPr>
        <w:t>(паритете)</w:t>
      </w:r>
      <w:r w:rsidR="00A802BD">
        <w:rPr>
          <w:rFonts w:ascii="Times New Roman" w:hAnsi="Times New Roman"/>
          <w:b/>
          <w:caps/>
          <w:color w:val="404040"/>
          <w:sz w:val="24"/>
          <w:szCs w:val="24"/>
        </w:rPr>
        <w:t xml:space="preserve"> </w:t>
      </w:r>
      <w:r w:rsidR="002465DE">
        <w:rPr>
          <w:rFonts w:ascii="Times New Roman" w:hAnsi="Times New Roman"/>
          <w:b/>
          <w:caps/>
          <w:color w:val="404040"/>
          <w:sz w:val="24"/>
          <w:szCs w:val="24"/>
        </w:rPr>
        <w:t>валют</w:t>
      </w:r>
      <w:r w:rsidR="00A802BD">
        <w:rPr>
          <w:rFonts w:ascii="Times New Roman" w:hAnsi="Times New Roman"/>
          <w:b/>
          <w:caps/>
          <w:color w:val="404040"/>
          <w:sz w:val="24"/>
          <w:szCs w:val="24"/>
        </w:rPr>
        <w:t xml:space="preserve"> </w:t>
      </w:r>
    </w:p>
    <w:p w:rsidR="00050501" w:rsidRDefault="00050501" w:rsidP="0034380B">
      <w:pPr>
        <w:spacing w:after="0"/>
        <w:jc w:val="center"/>
        <w:rPr>
          <w:rFonts w:ascii="Times New Roman" w:hAnsi="Times New Roman"/>
          <w:b/>
          <w:caps/>
          <w:color w:val="404040"/>
          <w:sz w:val="24"/>
          <w:szCs w:val="24"/>
        </w:rPr>
      </w:pPr>
      <w:r>
        <w:rPr>
          <w:rFonts w:ascii="Times New Roman" w:hAnsi="Times New Roman"/>
          <w:b/>
          <w:caps/>
          <w:color w:val="404040"/>
          <w:sz w:val="24"/>
          <w:szCs w:val="24"/>
        </w:rPr>
        <w:t xml:space="preserve">на примере </w:t>
      </w:r>
      <w:r w:rsidR="00CA0693">
        <w:rPr>
          <w:rFonts w:ascii="Times New Roman" w:hAnsi="Times New Roman"/>
          <w:b/>
          <w:caps/>
          <w:color w:val="404040"/>
          <w:sz w:val="24"/>
          <w:szCs w:val="24"/>
        </w:rPr>
        <w:t>пересчёта</w:t>
      </w:r>
      <w:r>
        <w:rPr>
          <w:rFonts w:ascii="Times New Roman" w:hAnsi="Times New Roman"/>
          <w:b/>
          <w:caps/>
          <w:color w:val="404040"/>
          <w:sz w:val="24"/>
          <w:szCs w:val="24"/>
        </w:rPr>
        <w:t xml:space="preserve"> в крымском федеральном округе</w:t>
      </w:r>
    </w:p>
    <w:p w:rsidR="00FC5F14" w:rsidRPr="00D138F5" w:rsidRDefault="00FC5F14" w:rsidP="003943E5">
      <w:pPr>
        <w:spacing w:after="0"/>
        <w:ind w:firstLine="567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FC5F14" w:rsidRDefault="00FC5F14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>
        <w:rPr>
          <w:rFonts w:ascii="Times New Roman" w:hAnsi="Times New Roman"/>
          <w:color w:val="404040"/>
          <w:sz w:val="24"/>
          <w:szCs w:val="24"/>
        </w:rPr>
        <w:t xml:space="preserve">Рассмотрим эту тему на примере </w:t>
      </w:r>
      <w:r w:rsidRPr="00F65197">
        <w:rPr>
          <w:rFonts w:ascii="Times New Roman" w:hAnsi="Times New Roman"/>
          <w:color w:val="404040"/>
          <w:sz w:val="24"/>
          <w:szCs w:val="24"/>
        </w:rPr>
        <w:t>урегулир</w:t>
      </w:r>
      <w:r>
        <w:rPr>
          <w:rFonts w:ascii="Times New Roman" w:hAnsi="Times New Roman"/>
          <w:color w:val="404040"/>
          <w:sz w:val="24"/>
          <w:szCs w:val="24"/>
        </w:rPr>
        <w:t>ования</w:t>
      </w:r>
      <w:r w:rsidRPr="00F65197">
        <w:rPr>
          <w:rFonts w:ascii="Times New Roman" w:hAnsi="Times New Roman"/>
          <w:color w:val="404040"/>
          <w:sz w:val="24"/>
          <w:szCs w:val="24"/>
        </w:rPr>
        <w:t xml:space="preserve"> вопро</w:t>
      </w:r>
      <w:r>
        <w:rPr>
          <w:rFonts w:ascii="Times New Roman" w:hAnsi="Times New Roman"/>
          <w:color w:val="404040"/>
          <w:sz w:val="24"/>
          <w:szCs w:val="24"/>
        </w:rPr>
        <w:t>сов инте</w:t>
      </w:r>
      <w:r w:rsidRPr="00F65197">
        <w:rPr>
          <w:rFonts w:ascii="Times New Roman" w:hAnsi="Times New Roman"/>
          <w:color w:val="404040"/>
          <w:sz w:val="24"/>
          <w:szCs w:val="24"/>
        </w:rPr>
        <w:t xml:space="preserve">грации </w:t>
      </w:r>
      <w:r w:rsidRPr="00FC5F14">
        <w:rPr>
          <w:rFonts w:ascii="Times New Roman" w:hAnsi="Times New Roman"/>
          <w:color w:val="404040"/>
          <w:sz w:val="24"/>
          <w:szCs w:val="24"/>
        </w:rPr>
        <w:t>Республики Крым и города федерального значения Севастополя</w:t>
      </w:r>
      <w:r>
        <w:rPr>
          <w:rFonts w:ascii="Times New Roman" w:hAnsi="Times New Roman"/>
          <w:color w:val="404040"/>
          <w:sz w:val="24"/>
          <w:szCs w:val="24"/>
        </w:rPr>
        <w:t xml:space="preserve"> (Крымский федеральный округ) </w:t>
      </w:r>
      <w:r w:rsidRPr="00F65197">
        <w:rPr>
          <w:rFonts w:ascii="Times New Roman" w:hAnsi="Times New Roman"/>
          <w:color w:val="404040"/>
          <w:sz w:val="24"/>
          <w:szCs w:val="24"/>
        </w:rPr>
        <w:t>в экономическую, финансовую, кредитную и правовую системы Российской Федерации</w:t>
      </w:r>
      <w:r>
        <w:rPr>
          <w:rFonts w:ascii="Times New Roman" w:hAnsi="Times New Roman"/>
          <w:color w:val="404040"/>
          <w:sz w:val="24"/>
          <w:szCs w:val="24"/>
        </w:rPr>
        <w:t>.</w:t>
      </w:r>
      <w:proofErr w:type="gramEnd"/>
    </w:p>
    <w:p w:rsidR="00FC5F14" w:rsidRDefault="00FC5F14" w:rsidP="00FC5F1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F65197">
        <w:rPr>
          <w:rFonts w:ascii="Times New Roman" w:hAnsi="Times New Roman"/>
          <w:color w:val="404040"/>
          <w:sz w:val="24"/>
          <w:szCs w:val="24"/>
        </w:rPr>
        <w:t xml:space="preserve">Федеральным конституционным законом "О принятии в Российскую Федерацию </w:t>
      </w:r>
      <w:proofErr w:type="spellStart"/>
      <w:proofErr w:type="gramStart"/>
      <w:r w:rsidRPr="00F65197">
        <w:rPr>
          <w:rFonts w:ascii="Times New Roman" w:hAnsi="Times New Roman"/>
          <w:color w:val="404040"/>
          <w:sz w:val="24"/>
          <w:szCs w:val="24"/>
        </w:rPr>
        <w:t>Респуб</w:t>
      </w:r>
      <w:proofErr w:type="spellEnd"/>
      <w:r w:rsidRPr="00F65197">
        <w:rPr>
          <w:rFonts w:ascii="Times New Roman" w:hAnsi="Times New Roman"/>
          <w:color w:val="404040"/>
          <w:sz w:val="24"/>
          <w:szCs w:val="24"/>
        </w:rPr>
        <w:t>-лики</w:t>
      </w:r>
      <w:proofErr w:type="gramEnd"/>
      <w:r w:rsidRPr="00F65197">
        <w:rPr>
          <w:rFonts w:ascii="Times New Roman" w:hAnsi="Times New Roman"/>
          <w:color w:val="404040"/>
          <w:sz w:val="24"/>
          <w:szCs w:val="24"/>
        </w:rPr>
        <w:t xml:space="preserve"> Крым и образовании в составе Российской Федерации новых субъектов – Республики Крым и города федерального значения Севастополя" от 21 марта 2014 года №6-ФКЗ </w:t>
      </w:r>
      <w:r>
        <w:rPr>
          <w:rFonts w:ascii="Times New Roman" w:hAnsi="Times New Roman"/>
          <w:color w:val="404040"/>
          <w:sz w:val="24"/>
          <w:szCs w:val="24"/>
        </w:rPr>
        <w:t xml:space="preserve">был </w:t>
      </w:r>
      <w:r w:rsidRPr="00F65197">
        <w:rPr>
          <w:rFonts w:ascii="Times New Roman" w:hAnsi="Times New Roman"/>
          <w:color w:val="404040"/>
          <w:sz w:val="24"/>
          <w:szCs w:val="24"/>
        </w:rPr>
        <w:t>определён перехо</w:t>
      </w:r>
      <w:r>
        <w:rPr>
          <w:rFonts w:ascii="Times New Roman" w:hAnsi="Times New Roman"/>
          <w:color w:val="404040"/>
          <w:sz w:val="24"/>
          <w:szCs w:val="24"/>
        </w:rPr>
        <w:t>дны</w:t>
      </w:r>
      <w:r w:rsidRPr="00F65197">
        <w:rPr>
          <w:rFonts w:ascii="Times New Roman" w:hAnsi="Times New Roman"/>
          <w:color w:val="404040"/>
          <w:sz w:val="24"/>
          <w:szCs w:val="24"/>
        </w:rPr>
        <w:t>й период до 01 января 2015 года.</w:t>
      </w:r>
    </w:p>
    <w:p w:rsidR="00686292" w:rsidRDefault="00A72D9B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О</w:t>
      </w:r>
      <w:r w:rsidR="00686292">
        <w:rPr>
          <w:rFonts w:ascii="Times New Roman" w:hAnsi="Times New Roman"/>
          <w:color w:val="404040"/>
          <w:sz w:val="24"/>
          <w:szCs w:val="24"/>
        </w:rPr>
        <w:t xml:space="preserve">ценочное сообщество </w:t>
      </w:r>
      <w:r w:rsidR="00B01567">
        <w:rPr>
          <w:rFonts w:ascii="Times New Roman" w:hAnsi="Times New Roman"/>
          <w:color w:val="404040"/>
          <w:sz w:val="24"/>
          <w:szCs w:val="24"/>
        </w:rPr>
        <w:t>новых субъектов</w:t>
      </w:r>
      <w:r w:rsidR="00686292">
        <w:rPr>
          <w:rFonts w:ascii="Times New Roman" w:hAnsi="Times New Roman"/>
          <w:color w:val="404040"/>
          <w:sz w:val="24"/>
          <w:szCs w:val="24"/>
        </w:rPr>
        <w:t xml:space="preserve"> Российской Федерации "не </w:t>
      </w:r>
      <w:proofErr w:type="gramStart"/>
      <w:r w:rsidR="00686292">
        <w:rPr>
          <w:rFonts w:ascii="Times New Roman" w:hAnsi="Times New Roman"/>
          <w:color w:val="404040"/>
          <w:sz w:val="24"/>
          <w:szCs w:val="24"/>
        </w:rPr>
        <w:t>сидело</w:t>
      </w:r>
      <w:proofErr w:type="gramEnd"/>
      <w:r w:rsidR="00686292">
        <w:rPr>
          <w:rFonts w:ascii="Times New Roman" w:hAnsi="Times New Roman"/>
          <w:color w:val="404040"/>
          <w:sz w:val="24"/>
          <w:szCs w:val="24"/>
        </w:rPr>
        <w:t xml:space="preserve"> сложа руки", а активно взялось за приведение </w:t>
      </w:r>
      <w:r w:rsidR="00423EA7">
        <w:rPr>
          <w:rFonts w:ascii="Times New Roman" w:hAnsi="Times New Roman"/>
          <w:color w:val="404040"/>
          <w:sz w:val="24"/>
          <w:szCs w:val="24"/>
        </w:rPr>
        <w:t>своей деятельности к требованиями</w:t>
      </w:r>
      <w:r w:rsidR="00423EA7" w:rsidRPr="00423EA7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23EA7">
        <w:rPr>
          <w:rFonts w:ascii="Times New Roman" w:hAnsi="Times New Roman"/>
          <w:color w:val="404040"/>
          <w:sz w:val="24"/>
          <w:szCs w:val="24"/>
        </w:rPr>
        <w:t xml:space="preserve">законодательства Российской Федерации. </w:t>
      </w:r>
      <w:r w:rsidR="00807E96">
        <w:rPr>
          <w:rFonts w:ascii="Times New Roman" w:hAnsi="Times New Roman"/>
          <w:color w:val="404040"/>
          <w:sz w:val="24"/>
          <w:szCs w:val="24"/>
        </w:rPr>
        <w:t xml:space="preserve">Уже </w:t>
      </w:r>
      <w:r w:rsidR="00807E96" w:rsidRPr="00807E96">
        <w:rPr>
          <w:rFonts w:ascii="Times New Roman" w:hAnsi="Times New Roman"/>
          <w:color w:val="404040"/>
          <w:sz w:val="24"/>
          <w:szCs w:val="24"/>
        </w:rPr>
        <w:t>к августу с. г. большинство Крымских оценщиков прошли обучение и подтвердили свою квалификацию согласно требованиям российского законодательства</w:t>
      </w:r>
      <w:r w:rsidR="00EB19C1">
        <w:rPr>
          <w:rFonts w:ascii="Times New Roman" w:hAnsi="Times New Roman"/>
          <w:color w:val="404040"/>
          <w:sz w:val="24"/>
          <w:szCs w:val="24"/>
        </w:rPr>
        <w:t>, а к концу года значительная часть из них вступили</w:t>
      </w:r>
      <w:r w:rsidR="00F52EA1">
        <w:rPr>
          <w:rFonts w:ascii="Times New Roman" w:hAnsi="Times New Roman"/>
          <w:color w:val="404040"/>
          <w:sz w:val="24"/>
          <w:szCs w:val="24"/>
        </w:rPr>
        <w:t xml:space="preserve"> в</w:t>
      </w:r>
      <w:r w:rsidR="00EB19C1">
        <w:rPr>
          <w:rFonts w:ascii="Times New Roman" w:hAnsi="Times New Roman"/>
          <w:color w:val="404040"/>
          <w:sz w:val="24"/>
          <w:szCs w:val="24"/>
        </w:rPr>
        <w:t xml:space="preserve"> СРО оценщиков и оформили страховку. </w:t>
      </w:r>
      <w:r w:rsidR="00FC5F14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6E3E1C" w:rsidRDefault="00DC6150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В результате</w:t>
      </w:r>
      <w:r w:rsidR="006E3E1C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B01567">
        <w:rPr>
          <w:rFonts w:ascii="Times New Roman" w:hAnsi="Times New Roman"/>
          <w:color w:val="404040"/>
          <w:sz w:val="24"/>
          <w:szCs w:val="24"/>
        </w:rPr>
        <w:t>Крымские</w:t>
      </w:r>
      <w:r w:rsidR="006E3E1C">
        <w:rPr>
          <w:rFonts w:ascii="Times New Roman" w:hAnsi="Times New Roman"/>
          <w:color w:val="404040"/>
          <w:sz w:val="24"/>
          <w:szCs w:val="24"/>
        </w:rPr>
        <w:t xml:space="preserve"> и Се</w:t>
      </w:r>
      <w:r w:rsidR="00B01567">
        <w:rPr>
          <w:rFonts w:ascii="Times New Roman" w:hAnsi="Times New Roman"/>
          <w:color w:val="404040"/>
          <w:sz w:val="24"/>
          <w:szCs w:val="24"/>
        </w:rPr>
        <w:t>вастопольские</w:t>
      </w:r>
      <w:r w:rsidR="006E3E1C" w:rsidRPr="006E3E1C">
        <w:rPr>
          <w:rFonts w:ascii="Times New Roman" w:hAnsi="Times New Roman"/>
          <w:color w:val="404040"/>
          <w:sz w:val="24"/>
          <w:szCs w:val="24"/>
        </w:rPr>
        <w:t xml:space="preserve"> оценщи</w:t>
      </w:r>
      <w:r w:rsidR="00B01567">
        <w:rPr>
          <w:rFonts w:ascii="Times New Roman" w:hAnsi="Times New Roman"/>
          <w:color w:val="404040"/>
          <w:sz w:val="24"/>
          <w:szCs w:val="24"/>
        </w:rPr>
        <w:t>ки</w:t>
      </w:r>
      <w:r w:rsidR="00F52EA1">
        <w:rPr>
          <w:rFonts w:ascii="Times New Roman" w:hAnsi="Times New Roman"/>
          <w:color w:val="404040"/>
          <w:sz w:val="24"/>
          <w:szCs w:val="24"/>
        </w:rPr>
        <w:t>, имея</w:t>
      </w:r>
      <w:r w:rsidR="006E3E1C">
        <w:rPr>
          <w:rFonts w:ascii="Times New Roman" w:hAnsi="Times New Roman"/>
          <w:color w:val="404040"/>
          <w:sz w:val="24"/>
          <w:szCs w:val="24"/>
        </w:rPr>
        <w:t xml:space="preserve"> "за плечами" </w:t>
      </w:r>
      <w:r w:rsidR="006E3E1C" w:rsidRPr="006E3E1C">
        <w:rPr>
          <w:rFonts w:ascii="Times New Roman" w:hAnsi="Times New Roman"/>
          <w:color w:val="404040"/>
          <w:sz w:val="24"/>
          <w:szCs w:val="24"/>
        </w:rPr>
        <w:t>опыт оценки</w:t>
      </w:r>
      <w:r w:rsidR="007540F9">
        <w:rPr>
          <w:rFonts w:ascii="Times New Roman" w:hAnsi="Times New Roman"/>
          <w:color w:val="404040"/>
          <w:sz w:val="24"/>
          <w:szCs w:val="24"/>
        </w:rPr>
        <w:t xml:space="preserve"> в Украине</w:t>
      </w:r>
      <w:r w:rsidR="00F52EA1">
        <w:rPr>
          <w:rFonts w:ascii="Times New Roman" w:hAnsi="Times New Roman"/>
          <w:color w:val="404040"/>
          <w:sz w:val="24"/>
          <w:szCs w:val="24"/>
        </w:rPr>
        <w:t>,</w:t>
      </w:r>
      <w:r w:rsidR="006E3E1C">
        <w:rPr>
          <w:rFonts w:ascii="Times New Roman" w:hAnsi="Times New Roman"/>
          <w:color w:val="404040"/>
          <w:sz w:val="24"/>
          <w:szCs w:val="24"/>
        </w:rPr>
        <w:t xml:space="preserve"> теперь уже начали самостоятельно работать в законодательном поле Российской Федерации.</w:t>
      </w:r>
    </w:p>
    <w:p w:rsidR="00F65197" w:rsidRDefault="002606B4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>
        <w:rPr>
          <w:rFonts w:ascii="Times New Roman" w:hAnsi="Times New Roman"/>
          <w:color w:val="404040"/>
          <w:sz w:val="24"/>
          <w:szCs w:val="24"/>
        </w:rPr>
        <w:t>В настоящее время</w:t>
      </w:r>
      <w:r w:rsidR="00992209">
        <w:rPr>
          <w:rFonts w:ascii="Times New Roman" w:hAnsi="Times New Roman"/>
          <w:color w:val="404040"/>
          <w:sz w:val="24"/>
          <w:szCs w:val="24"/>
        </w:rPr>
        <w:t xml:space="preserve"> (декабрь </w:t>
      </w:r>
      <w:r w:rsidR="00DC6150">
        <w:rPr>
          <w:rFonts w:ascii="Times New Roman" w:hAnsi="Times New Roman"/>
          <w:color w:val="404040"/>
          <w:sz w:val="24"/>
          <w:szCs w:val="24"/>
        </w:rPr>
        <w:t>2014 г.</w:t>
      </w:r>
      <w:r w:rsidR="00992209">
        <w:rPr>
          <w:rFonts w:ascii="Times New Roman" w:hAnsi="Times New Roman"/>
          <w:color w:val="404040"/>
          <w:sz w:val="24"/>
          <w:szCs w:val="24"/>
        </w:rPr>
        <w:t>)</w:t>
      </w:r>
      <w:r>
        <w:rPr>
          <w:rFonts w:ascii="Times New Roman" w:hAnsi="Times New Roman"/>
          <w:color w:val="404040"/>
          <w:sz w:val="24"/>
          <w:szCs w:val="24"/>
        </w:rPr>
        <w:t xml:space="preserve"> в правительственных кругах Российской Федерации обсуждается  возможность частичного продления переходного периода для Республики Крым только в отдельных сферах общественной деятельности, а именно в решении вопросов незавершённого строительства, перерегистрации предприятий, формирования кадастрового учёта</w:t>
      </w:r>
      <w:r w:rsidR="00000402">
        <w:rPr>
          <w:rFonts w:ascii="Times New Roman" w:hAnsi="Times New Roman"/>
          <w:color w:val="404040"/>
          <w:sz w:val="24"/>
          <w:szCs w:val="24"/>
        </w:rPr>
        <w:t xml:space="preserve"> и оценки земельных участков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0402">
        <w:rPr>
          <w:rFonts w:ascii="Times New Roman" w:hAnsi="Times New Roman"/>
          <w:color w:val="404040"/>
          <w:sz w:val="24"/>
          <w:szCs w:val="24"/>
        </w:rPr>
        <w:t>(</w:t>
      </w:r>
      <w:r>
        <w:rPr>
          <w:rFonts w:ascii="Times New Roman" w:hAnsi="Times New Roman"/>
          <w:color w:val="404040"/>
          <w:sz w:val="24"/>
          <w:szCs w:val="24"/>
        </w:rPr>
        <w:t>объектов недвижимости</w:t>
      </w:r>
      <w:r w:rsidR="00000402">
        <w:rPr>
          <w:rFonts w:ascii="Times New Roman" w:hAnsi="Times New Roman"/>
          <w:color w:val="404040"/>
          <w:sz w:val="24"/>
          <w:szCs w:val="24"/>
        </w:rPr>
        <w:t>)</w:t>
      </w:r>
      <w:r>
        <w:rPr>
          <w:rFonts w:ascii="Times New Roman" w:hAnsi="Times New Roman"/>
          <w:color w:val="404040"/>
          <w:sz w:val="24"/>
          <w:szCs w:val="24"/>
        </w:rPr>
        <w:t>, получения патентов и</w:t>
      </w:r>
      <w:r w:rsidRPr="002606B4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лицензий</w:t>
      </w:r>
      <w:r w:rsidRPr="002606B4">
        <w:rPr>
          <w:rFonts w:ascii="Times New Roman" w:hAnsi="Times New Roman"/>
          <w:color w:val="404040"/>
          <w:sz w:val="24"/>
          <w:szCs w:val="24"/>
        </w:rPr>
        <w:t xml:space="preserve"> российского образ</w:t>
      </w:r>
      <w:r>
        <w:rPr>
          <w:rFonts w:ascii="Times New Roman" w:hAnsi="Times New Roman"/>
          <w:color w:val="404040"/>
          <w:sz w:val="24"/>
          <w:szCs w:val="24"/>
        </w:rPr>
        <w:t>ца,</w:t>
      </w:r>
      <w:r w:rsidRPr="002606B4">
        <w:rPr>
          <w:rFonts w:ascii="Times New Roman" w:hAnsi="Times New Roman"/>
          <w:color w:val="404040"/>
          <w:sz w:val="24"/>
          <w:szCs w:val="24"/>
        </w:rPr>
        <w:t xml:space="preserve"> прове</w:t>
      </w:r>
      <w:r>
        <w:rPr>
          <w:rFonts w:ascii="Times New Roman" w:hAnsi="Times New Roman"/>
          <w:color w:val="404040"/>
          <w:sz w:val="24"/>
          <w:szCs w:val="24"/>
        </w:rPr>
        <w:t>дения специальной оценки</w:t>
      </w:r>
      <w:r w:rsidRPr="002606B4">
        <w:rPr>
          <w:rFonts w:ascii="Times New Roman" w:hAnsi="Times New Roman"/>
          <w:color w:val="404040"/>
          <w:sz w:val="24"/>
          <w:szCs w:val="24"/>
        </w:rPr>
        <w:t xml:space="preserve"> условий труда</w:t>
      </w:r>
      <w:r w:rsidR="00F52EA1">
        <w:rPr>
          <w:rFonts w:ascii="Times New Roman" w:hAnsi="Times New Roman"/>
          <w:color w:val="404040"/>
          <w:sz w:val="24"/>
          <w:szCs w:val="24"/>
        </w:rPr>
        <w:t>,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F52EA1" w:rsidRPr="00F52EA1">
        <w:rPr>
          <w:rFonts w:ascii="Times New Roman" w:hAnsi="Times New Roman"/>
          <w:color w:val="404040"/>
          <w:sz w:val="24"/>
          <w:szCs w:val="24"/>
        </w:rPr>
        <w:t>перерегистрации автомобилей и замены водительских</w:t>
      </w:r>
      <w:proofErr w:type="gramEnd"/>
      <w:r w:rsidR="00F52EA1" w:rsidRPr="00F52EA1">
        <w:rPr>
          <w:rFonts w:ascii="Times New Roman" w:hAnsi="Times New Roman"/>
          <w:color w:val="404040"/>
          <w:sz w:val="24"/>
          <w:szCs w:val="24"/>
        </w:rPr>
        <w:t xml:space="preserve"> удостоверений</w:t>
      </w:r>
      <w:r w:rsidR="00F52EA1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и много другого</w:t>
      </w:r>
      <w:r w:rsidRPr="002606B4">
        <w:rPr>
          <w:rFonts w:ascii="Times New Roman" w:hAnsi="Times New Roman"/>
          <w:color w:val="404040"/>
          <w:sz w:val="24"/>
          <w:szCs w:val="24"/>
        </w:rPr>
        <w:t>.</w:t>
      </w:r>
    </w:p>
    <w:p w:rsidR="00E809F8" w:rsidRDefault="00E809F8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95296E">
        <w:rPr>
          <w:rFonts w:ascii="Times New Roman" w:hAnsi="Times New Roman"/>
          <w:color w:val="404040"/>
          <w:sz w:val="24"/>
          <w:szCs w:val="24"/>
        </w:rPr>
        <w:t>У нас, оценщиков, все эти факты вызвали интерес в аспекте определения соответствия</w:t>
      </w:r>
      <w:r w:rsidR="00D44893" w:rsidRPr="0095296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стоимостей, сформированных </w:t>
      </w:r>
      <w:r w:rsidR="00A802BD" w:rsidRPr="0095296E">
        <w:rPr>
          <w:rFonts w:ascii="Times New Roman" w:hAnsi="Times New Roman"/>
          <w:color w:val="404040"/>
          <w:sz w:val="24"/>
          <w:szCs w:val="24"/>
        </w:rPr>
        <w:t>ранее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 в денежной единице </w:t>
      </w:r>
      <w:r w:rsidR="00A802BD" w:rsidRPr="0095296E">
        <w:rPr>
          <w:rFonts w:ascii="Times New Roman" w:hAnsi="Times New Roman"/>
          <w:color w:val="404040"/>
          <w:sz w:val="24"/>
          <w:szCs w:val="24"/>
        </w:rPr>
        <w:t xml:space="preserve">Украины 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– </w:t>
      </w:r>
      <w:r w:rsidRPr="0095296E">
        <w:rPr>
          <w:rFonts w:ascii="Times New Roman" w:hAnsi="Times New Roman"/>
          <w:i/>
          <w:color w:val="404040"/>
          <w:sz w:val="24"/>
          <w:szCs w:val="24"/>
        </w:rPr>
        <w:t>гривне</w:t>
      </w:r>
      <w:r w:rsidR="0080620E" w:rsidRPr="0095296E">
        <w:rPr>
          <w:rStyle w:val="ae"/>
          <w:rFonts w:ascii="Times New Roman" w:hAnsi="Times New Roman"/>
          <w:color w:val="404040"/>
          <w:sz w:val="24"/>
          <w:szCs w:val="24"/>
        </w:rPr>
        <w:footnoteReference w:id="1"/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, и выражении их в официальной денежной единице Российской Федерации – </w:t>
      </w:r>
      <w:r w:rsidRPr="0095296E">
        <w:rPr>
          <w:rFonts w:ascii="Times New Roman" w:hAnsi="Times New Roman"/>
          <w:i/>
          <w:color w:val="404040"/>
          <w:sz w:val="24"/>
          <w:szCs w:val="24"/>
        </w:rPr>
        <w:t>рубле</w:t>
      </w:r>
      <w:r w:rsidR="00D44893" w:rsidRPr="0095296E">
        <w:rPr>
          <w:rFonts w:ascii="Times New Roman" w:hAnsi="Times New Roman"/>
          <w:color w:val="404040"/>
          <w:sz w:val="24"/>
          <w:szCs w:val="24"/>
        </w:rPr>
        <w:t xml:space="preserve">,  </w:t>
      </w:r>
      <w:r w:rsidR="001C5A7A" w:rsidRPr="0095296E">
        <w:rPr>
          <w:rFonts w:ascii="Times New Roman" w:hAnsi="Times New Roman"/>
          <w:color w:val="404040"/>
          <w:sz w:val="24"/>
          <w:szCs w:val="24"/>
        </w:rPr>
        <w:t>на территориях Республики</w:t>
      </w:r>
      <w:r w:rsidR="00D44893" w:rsidRPr="0095296E">
        <w:rPr>
          <w:rFonts w:ascii="Times New Roman" w:hAnsi="Times New Roman"/>
          <w:color w:val="404040"/>
          <w:sz w:val="24"/>
          <w:szCs w:val="24"/>
        </w:rPr>
        <w:t xml:space="preserve"> Крым и город</w:t>
      </w:r>
      <w:r w:rsidR="00B01567" w:rsidRPr="0095296E">
        <w:rPr>
          <w:rFonts w:ascii="Times New Roman" w:hAnsi="Times New Roman"/>
          <w:color w:val="404040"/>
          <w:sz w:val="24"/>
          <w:szCs w:val="24"/>
        </w:rPr>
        <w:t>а</w:t>
      </w:r>
      <w:r w:rsidR="00D44893" w:rsidRPr="0095296E">
        <w:rPr>
          <w:rFonts w:ascii="Times New Roman" w:hAnsi="Times New Roman"/>
          <w:color w:val="404040"/>
          <w:sz w:val="24"/>
          <w:szCs w:val="24"/>
        </w:rPr>
        <w:t xml:space="preserve"> федерального значения Севастопол</w:t>
      </w:r>
      <w:r w:rsidR="00B01567" w:rsidRPr="0095296E">
        <w:rPr>
          <w:rFonts w:ascii="Times New Roman" w:hAnsi="Times New Roman"/>
          <w:color w:val="404040"/>
          <w:sz w:val="24"/>
          <w:szCs w:val="24"/>
        </w:rPr>
        <w:t>я</w:t>
      </w:r>
      <w:r w:rsidRPr="0095296E">
        <w:rPr>
          <w:rFonts w:ascii="Times New Roman" w:hAnsi="Times New Roman"/>
          <w:color w:val="404040"/>
          <w:sz w:val="24"/>
          <w:szCs w:val="24"/>
        </w:rPr>
        <w:t>.</w:t>
      </w:r>
      <w:r w:rsidR="0065728B" w:rsidRPr="0095296E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gramStart"/>
      <w:r w:rsidR="005D78E7" w:rsidRPr="0095296E">
        <w:rPr>
          <w:rFonts w:ascii="Times New Roman" w:hAnsi="Times New Roman"/>
          <w:color w:val="404040"/>
          <w:sz w:val="24"/>
          <w:szCs w:val="24"/>
        </w:rPr>
        <w:t>Напомним, что Федеральным конституционным законом №7-ФКЗ от 27 мая 2014 года</w:t>
      </w:r>
      <w:r w:rsidR="009133B9" w:rsidRPr="0095296E">
        <w:rPr>
          <w:rFonts w:ascii="Times New Roman" w:hAnsi="Times New Roman"/>
          <w:color w:val="404040"/>
          <w:sz w:val="24"/>
          <w:szCs w:val="24"/>
        </w:rPr>
        <w:t xml:space="preserve"> были внесены изменения и дополнения в Федеральный конституционный закон №6-ФКЗ от 21 марта 2014 года, согласно которым </w:t>
      </w:r>
      <w:r w:rsidR="005D78E7" w:rsidRPr="0095296E">
        <w:rPr>
          <w:rFonts w:ascii="Times New Roman" w:hAnsi="Times New Roman"/>
          <w:color w:val="404040"/>
          <w:sz w:val="24"/>
          <w:szCs w:val="24"/>
        </w:rPr>
        <w:t>на территориях этих новых субъектов Российской Федерации допускалось обращение и осуществление расчётов в наличной и безналичной формах в национальной денежной единице Украины до 1 июня 2014 года.</w:t>
      </w:r>
      <w:proofErr w:type="gramEnd"/>
      <w:r w:rsidR="005D78E7" w:rsidRPr="0095296E">
        <w:rPr>
          <w:rFonts w:ascii="Times New Roman" w:hAnsi="Times New Roman"/>
          <w:color w:val="404040"/>
          <w:sz w:val="24"/>
          <w:szCs w:val="24"/>
        </w:rPr>
        <w:t xml:space="preserve"> С этой даты на использование </w:t>
      </w:r>
      <w:proofErr w:type="spellStart"/>
      <w:r w:rsidR="005D78E7" w:rsidRPr="0095296E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 w:rsidR="005D78E7" w:rsidRPr="0095296E">
        <w:rPr>
          <w:rFonts w:ascii="Times New Roman" w:hAnsi="Times New Roman"/>
          <w:color w:val="404040"/>
          <w:sz w:val="24"/>
          <w:szCs w:val="24"/>
        </w:rPr>
        <w:t xml:space="preserve"> распространялся правовой режим для осуществления расчётов в иностранной валюте, установленный законодательством Российской Федерации.</w:t>
      </w:r>
    </w:p>
    <w:p w:rsidR="00D00FDD" w:rsidRDefault="00D44893" w:rsidP="00FC5F1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Дело в том, что за время переходного периода</w:t>
      </w:r>
      <w:r w:rsidR="00000402">
        <w:rPr>
          <w:rFonts w:ascii="Times New Roman" w:hAnsi="Times New Roman"/>
          <w:color w:val="404040"/>
          <w:sz w:val="24"/>
          <w:szCs w:val="24"/>
        </w:rPr>
        <w:t xml:space="preserve"> (до 01.01.2015 г.)</w:t>
      </w:r>
      <w:r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CA02B4">
        <w:rPr>
          <w:rFonts w:ascii="Times New Roman" w:hAnsi="Times New Roman"/>
          <w:color w:val="404040"/>
          <w:sz w:val="24"/>
          <w:szCs w:val="24"/>
        </w:rPr>
        <w:t xml:space="preserve">для определения стоимости в рублёвом исчислении, </w:t>
      </w:r>
      <w:r>
        <w:rPr>
          <w:rFonts w:ascii="Times New Roman" w:hAnsi="Times New Roman"/>
          <w:color w:val="404040"/>
          <w:sz w:val="24"/>
          <w:szCs w:val="24"/>
        </w:rPr>
        <w:t xml:space="preserve">далеко не </w:t>
      </w:r>
      <w:r w:rsidR="00000402">
        <w:rPr>
          <w:rFonts w:ascii="Times New Roman" w:hAnsi="Times New Roman"/>
          <w:color w:val="404040"/>
          <w:sz w:val="24"/>
          <w:szCs w:val="24"/>
        </w:rPr>
        <w:t>всегда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B01567">
        <w:rPr>
          <w:rFonts w:ascii="Times New Roman" w:hAnsi="Times New Roman"/>
          <w:color w:val="404040"/>
          <w:sz w:val="24"/>
          <w:szCs w:val="24"/>
        </w:rPr>
        <w:t>привлекались оценщики</w:t>
      </w:r>
      <w:r w:rsidR="00CA02B4">
        <w:rPr>
          <w:rFonts w:ascii="Times New Roman" w:hAnsi="Times New Roman"/>
          <w:color w:val="404040"/>
          <w:sz w:val="24"/>
          <w:szCs w:val="24"/>
        </w:rPr>
        <w:t>, осуществляющие профессиональную деятельность</w:t>
      </w:r>
      <w:r w:rsidR="00B01567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в соответствии с </w:t>
      </w:r>
      <w:r w:rsidR="008B78CB">
        <w:rPr>
          <w:rFonts w:ascii="Times New Roman" w:hAnsi="Times New Roman"/>
          <w:color w:val="404040"/>
          <w:sz w:val="24"/>
          <w:szCs w:val="24"/>
        </w:rPr>
        <w:t>Ф</w:t>
      </w:r>
      <w:r>
        <w:rPr>
          <w:rFonts w:ascii="Times New Roman" w:hAnsi="Times New Roman"/>
          <w:color w:val="404040"/>
          <w:sz w:val="24"/>
          <w:szCs w:val="24"/>
        </w:rPr>
        <w:t xml:space="preserve">едеральным законом </w:t>
      </w:r>
      <w:r w:rsidR="008B78CB">
        <w:rPr>
          <w:rFonts w:ascii="Times New Roman" w:hAnsi="Times New Roman"/>
          <w:color w:val="404040"/>
          <w:sz w:val="24"/>
          <w:szCs w:val="24"/>
        </w:rPr>
        <w:t>от 29 июля 1998 года №</w:t>
      </w:r>
      <w:r w:rsidR="008B78CB" w:rsidRPr="008B78CB">
        <w:rPr>
          <w:rFonts w:ascii="Times New Roman" w:hAnsi="Times New Roman"/>
          <w:color w:val="404040"/>
          <w:sz w:val="24"/>
          <w:szCs w:val="24"/>
        </w:rPr>
        <w:t>135-ФЗ "Об оценочной деятельности в Российской Федерации"</w:t>
      </w:r>
      <w:r w:rsidR="008B78CB">
        <w:rPr>
          <w:rFonts w:ascii="Times New Roman" w:hAnsi="Times New Roman"/>
          <w:color w:val="404040"/>
          <w:sz w:val="24"/>
          <w:szCs w:val="24"/>
        </w:rPr>
        <w:t>.</w:t>
      </w:r>
      <w:r w:rsidR="008B78CB" w:rsidRPr="008B78CB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301F47" w:rsidRDefault="00D00FDD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По-видимому, это происходило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 отчасти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CA02B4">
        <w:rPr>
          <w:rFonts w:ascii="Times New Roman" w:hAnsi="Times New Roman"/>
          <w:color w:val="404040"/>
          <w:sz w:val="24"/>
          <w:szCs w:val="24"/>
        </w:rPr>
        <w:t xml:space="preserve">и </w:t>
      </w:r>
      <w:r>
        <w:rPr>
          <w:rFonts w:ascii="Times New Roman" w:hAnsi="Times New Roman"/>
          <w:color w:val="404040"/>
          <w:sz w:val="24"/>
          <w:szCs w:val="24"/>
        </w:rPr>
        <w:t>потому, что</w:t>
      </w:r>
      <w:r w:rsidR="00CA02B4" w:rsidRPr="00CA02B4">
        <w:t xml:space="preserve"> </w:t>
      </w:r>
      <w:r w:rsidR="00CA02B4" w:rsidRPr="00CA02B4">
        <w:rPr>
          <w:rFonts w:ascii="Times New Roman" w:hAnsi="Times New Roman"/>
          <w:color w:val="404040"/>
          <w:sz w:val="24"/>
          <w:szCs w:val="24"/>
        </w:rPr>
        <w:t>Министерств</w:t>
      </w:r>
      <w:r w:rsidR="00CA02B4">
        <w:rPr>
          <w:rFonts w:ascii="Times New Roman" w:hAnsi="Times New Roman"/>
          <w:color w:val="404040"/>
          <w:sz w:val="24"/>
          <w:szCs w:val="24"/>
        </w:rPr>
        <w:t>ом</w:t>
      </w:r>
      <w:r w:rsidR="00CA02B4" w:rsidRPr="00CA02B4">
        <w:rPr>
          <w:rFonts w:ascii="Times New Roman" w:hAnsi="Times New Roman"/>
          <w:color w:val="404040"/>
          <w:sz w:val="24"/>
          <w:szCs w:val="24"/>
        </w:rPr>
        <w:t xml:space="preserve"> финансов Российской Федерации</w:t>
      </w:r>
      <w:r w:rsidR="00CA02B4">
        <w:rPr>
          <w:rFonts w:ascii="Times New Roman" w:hAnsi="Times New Roman"/>
          <w:color w:val="404040"/>
          <w:sz w:val="24"/>
          <w:szCs w:val="24"/>
        </w:rPr>
        <w:t xml:space="preserve"> был определён порядок </w:t>
      </w:r>
      <w:r w:rsidR="00301F47">
        <w:rPr>
          <w:rFonts w:ascii="Times New Roman" w:hAnsi="Times New Roman"/>
          <w:color w:val="404040"/>
          <w:sz w:val="24"/>
          <w:szCs w:val="24"/>
        </w:rPr>
        <w:t>единовременного пересчё</w:t>
      </w:r>
      <w:r w:rsidR="00301F47" w:rsidRPr="001C5A7A">
        <w:rPr>
          <w:rFonts w:ascii="Times New Roman" w:hAnsi="Times New Roman"/>
          <w:color w:val="404040"/>
          <w:sz w:val="24"/>
          <w:szCs w:val="24"/>
        </w:rPr>
        <w:t>т</w:t>
      </w:r>
      <w:r w:rsidR="00301F47">
        <w:rPr>
          <w:rFonts w:ascii="Times New Roman" w:hAnsi="Times New Roman"/>
          <w:color w:val="404040"/>
          <w:sz w:val="24"/>
          <w:szCs w:val="24"/>
        </w:rPr>
        <w:t>а</w:t>
      </w:r>
      <w:r w:rsidR="00301F47" w:rsidRPr="001C5A7A">
        <w:rPr>
          <w:rFonts w:ascii="Times New Roman" w:hAnsi="Times New Roman"/>
          <w:color w:val="404040"/>
          <w:sz w:val="24"/>
          <w:szCs w:val="24"/>
        </w:rPr>
        <w:t xml:space="preserve"> стоимости </w:t>
      </w:r>
      <w:r w:rsidR="00301F47" w:rsidRPr="00FC5F14">
        <w:rPr>
          <w:rFonts w:ascii="Times New Roman" w:hAnsi="Times New Roman"/>
          <w:color w:val="404040"/>
          <w:sz w:val="24"/>
          <w:szCs w:val="24"/>
        </w:rPr>
        <w:lastRenderedPageBreak/>
        <w:t>активов, обязательств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 и иных</w:t>
      </w:r>
      <w:r w:rsidR="00301F47" w:rsidRPr="00FC5F14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301F47" w:rsidRPr="001C5A7A">
        <w:rPr>
          <w:rFonts w:ascii="Times New Roman" w:hAnsi="Times New Roman"/>
          <w:color w:val="404040"/>
          <w:sz w:val="24"/>
          <w:szCs w:val="24"/>
        </w:rPr>
        <w:t>объ</w:t>
      </w:r>
      <w:r w:rsidR="00301F47">
        <w:rPr>
          <w:rFonts w:ascii="Times New Roman" w:hAnsi="Times New Roman"/>
          <w:color w:val="404040"/>
          <w:sz w:val="24"/>
          <w:szCs w:val="24"/>
        </w:rPr>
        <w:t>ектов бухгалтерского учё</w:t>
      </w:r>
      <w:r w:rsidR="00301F47" w:rsidRPr="001C5A7A">
        <w:rPr>
          <w:rFonts w:ascii="Times New Roman" w:hAnsi="Times New Roman"/>
          <w:color w:val="404040"/>
          <w:sz w:val="24"/>
          <w:szCs w:val="24"/>
        </w:rPr>
        <w:t>та, выраженн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ого в </w:t>
      </w:r>
      <w:proofErr w:type="spellStart"/>
      <w:r w:rsidR="00301F47">
        <w:rPr>
          <w:rFonts w:ascii="Times New Roman" w:hAnsi="Times New Roman"/>
          <w:color w:val="404040"/>
          <w:sz w:val="24"/>
          <w:szCs w:val="24"/>
        </w:rPr>
        <w:t>гривнях</w:t>
      </w:r>
      <w:proofErr w:type="spellEnd"/>
      <w:r w:rsidR="00301F47">
        <w:rPr>
          <w:rFonts w:ascii="Times New Roman" w:hAnsi="Times New Roman"/>
          <w:color w:val="404040"/>
          <w:sz w:val="24"/>
          <w:szCs w:val="24"/>
        </w:rPr>
        <w:t xml:space="preserve">, в рубли. </w:t>
      </w:r>
      <w:proofErr w:type="gramStart"/>
      <w:r w:rsidR="00F14C32">
        <w:rPr>
          <w:rFonts w:ascii="Times New Roman" w:hAnsi="Times New Roman"/>
          <w:color w:val="404040"/>
          <w:sz w:val="24"/>
          <w:szCs w:val="24"/>
        </w:rPr>
        <w:t>Так, с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огласно </w:t>
      </w:r>
      <w:r w:rsidR="00301F47" w:rsidRPr="00301F47">
        <w:rPr>
          <w:rFonts w:ascii="Times New Roman" w:hAnsi="Times New Roman"/>
          <w:color w:val="404040"/>
          <w:sz w:val="24"/>
          <w:szCs w:val="24"/>
        </w:rPr>
        <w:t>информационному письму Министерства финансов Российской Федерации от 11.07.2014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 г.</w:t>
      </w:r>
      <w:r w:rsidR="00301F47" w:rsidRPr="00301F47">
        <w:rPr>
          <w:rFonts w:ascii="Times New Roman" w:hAnsi="Times New Roman"/>
          <w:color w:val="404040"/>
          <w:sz w:val="24"/>
          <w:szCs w:val="24"/>
        </w:rPr>
        <w:t xml:space="preserve"> № ПЗ-12/2014 "О ведении бухгалтерского учёта на территориях Республики Крым и города федерального значения Севастополя" (п. 4),</w:t>
      </w:r>
      <w:r w:rsidR="00301F47">
        <w:rPr>
          <w:rFonts w:ascii="Times New Roman" w:hAnsi="Times New Roman"/>
          <w:color w:val="404040"/>
          <w:sz w:val="24"/>
          <w:szCs w:val="24"/>
        </w:rPr>
        <w:t xml:space="preserve"> этот пересчёт </w:t>
      </w:r>
      <w:r w:rsidR="00301F47" w:rsidRPr="00301F47">
        <w:rPr>
          <w:rFonts w:ascii="Times New Roman" w:hAnsi="Times New Roman"/>
          <w:color w:val="404040"/>
          <w:sz w:val="24"/>
          <w:szCs w:val="24"/>
        </w:rPr>
        <w:t xml:space="preserve">производится по официальному курсу </w:t>
      </w:r>
      <w:proofErr w:type="spellStart"/>
      <w:r w:rsidR="00301F47" w:rsidRPr="00301F47">
        <w:rPr>
          <w:rFonts w:ascii="Times New Roman" w:hAnsi="Times New Roman"/>
          <w:color w:val="404040"/>
          <w:sz w:val="24"/>
          <w:szCs w:val="24"/>
        </w:rPr>
        <w:t>гривни</w:t>
      </w:r>
      <w:proofErr w:type="spellEnd"/>
      <w:r w:rsidR="00301F47" w:rsidRPr="00301F47">
        <w:rPr>
          <w:rFonts w:ascii="Times New Roman" w:hAnsi="Times New Roman"/>
          <w:color w:val="404040"/>
          <w:sz w:val="24"/>
          <w:szCs w:val="24"/>
        </w:rPr>
        <w:t xml:space="preserve"> к рублю, установленному Банком России по состоянию на 1 июня 2014 г., если экономически</w:t>
      </w:r>
      <w:r w:rsidR="00301F47">
        <w:rPr>
          <w:rFonts w:ascii="Times New Roman" w:hAnsi="Times New Roman"/>
          <w:color w:val="404040"/>
          <w:sz w:val="24"/>
          <w:szCs w:val="24"/>
        </w:rPr>
        <w:t>м субъектом не была установлена</w:t>
      </w:r>
      <w:r w:rsidR="00301F47" w:rsidRPr="00301F47">
        <w:rPr>
          <w:rFonts w:ascii="Times New Roman" w:hAnsi="Times New Roman"/>
          <w:color w:val="404040"/>
          <w:sz w:val="24"/>
          <w:szCs w:val="24"/>
        </w:rPr>
        <w:t xml:space="preserve"> ранняя дата пересчёта.</w:t>
      </w:r>
      <w:proofErr w:type="gramEnd"/>
      <w:r w:rsidR="00301F47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gramStart"/>
      <w:r w:rsidR="00301F47" w:rsidRPr="00301F47">
        <w:rPr>
          <w:rFonts w:ascii="Times New Roman" w:hAnsi="Times New Roman"/>
          <w:color w:val="404040"/>
          <w:sz w:val="24"/>
          <w:szCs w:val="24"/>
        </w:rPr>
        <w:t>Сравнительные показатели бухгалтерского баланса на даты периодов, предшествующих отчётному, пересчитываются в рубли по официальному курсу, действовавшему на даты, на которые представлены такие показатели.</w:t>
      </w:r>
      <w:proofErr w:type="gramEnd"/>
    </w:p>
    <w:p w:rsidR="00A10758" w:rsidRDefault="00000402" w:rsidP="00A10758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Итак, схема пересчёта</w:t>
      </w:r>
      <w:r w:rsidR="00C31D9C">
        <w:rPr>
          <w:rFonts w:ascii="Times New Roman" w:hAnsi="Times New Roman"/>
          <w:color w:val="404040"/>
          <w:sz w:val="24"/>
          <w:szCs w:val="24"/>
        </w:rPr>
        <w:t xml:space="preserve"> была</w:t>
      </w:r>
      <w:r>
        <w:rPr>
          <w:rFonts w:ascii="Times New Roman" w:hAnsi="Times New Roman"/>
          <w:color w:val="404040"/>
          <w:sz w:val="24"/>
          <w:szCs w:val="24"/>
        </w:rPr>
        <w:t xml:space="preserve"> определена</w:t>
      </w:r>
      <w:r w:rsidR="00F14C32">
        <w:rPr>
          <w:rFonts w:ascii="Times New Roman" w:hAnsi="Times New Roman"/>
          <w:color w:val="404040"/>
          <w:sz w:val="24"/>
          <w:szCs w:val="24"/>
        </w:rPr>
        <w:t xml:space="preserve"> и реализована </w:t>
      </w:r>
      <w:r w:rsidR="00DC6150">
        <w:rPr>
          <w:rFonts w:ascii="Times New Roman" w:hAnsi="Times New Roman"/>
          <w:color w:val="404040"/>
          <w:sz w:val="24"/>
          <w:szCs w:val="24"/>
        </w:rPr>
        <w:t>на</w:t>
      </w:r>
      <w:r w:rsidR="00F14C32">
        <w:rPr>
          <w:rFonts w:ascii="Times New Roman" w:hAnsi="Times New Roman"/>
          <w:color w:val="404040"/>
          <w:sz w:val="24"/>
          <w:szCs w:val="24"/>
        </w:rPr>
        <w:t xml:space="preserve"> практике 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у бухгалтеров </w:t>
      </w:r>
      <w:r w:rsidR="00DC6150">
        <w:rPr>
          <w:rFonts w:ascii="Times New Roman" w:hAnsi="Times New Roman"/>
          <w:color w:val="404040"/>
          <w:sz w:val="24"/>
          <w:szCs w:val="24"/>
        </w:rPr>
        <w:t>в Республике Крым и городе федерального значения Севастополе.</w:t>
      </w:r>
      <w:r w:rsidR="0081308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A10758">
        <w:rPr>
          <w:rFonts w:ascii="Times New Roman" w:hAnsi="Times New Roman"/>
          <w:color w:val="404040"/>
          <w:sz w:val="24"/>
          <w:szCs w:val="24"/>
        </w:rPr>
        <w:t>О</w:t>
      </w:r>
      <w:r w:rsidR="00F14C32">
        <w:rPr>
          <w:rFonts w:ascii="Times New Roman" w:hAnsi="Times New Roman"/>
          <w:color w:val="404040"/>
          <w:sz w:val="24"/>
          <w:szCs w:val="24"/>
        </w:rPr>
        <w:t xml:space="preserve">днако, 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рассматривая использование официального курса </w:t>
      </w:r>
      <w:proofErr w:type="spellStart"/>
      <w:r w:rsidR="00A10758" w:rsidRPr="00050501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 w:rsidR="00A10758">
        <w:rPr>
          <w:rFonts w:ascii="Times New Roman" w:hAnsi="Times New Roman"/>
          <w:color w:val="404040"/>
          <w:sz w:val="24"/>
          <w:szCs w:val="24"/>
        </w:rPr>
        <w:t xml:space="preserve"> к </w:t>
      </w:r>
      <w:r w:rsidR="00A10758" w:rsidRPr="00050501">
        <w:rPr>
          <w:rFonts w:ascii="Times New Roman" w:hAnsi="Times New Roman"/>
          <w:i/>
          <w:color w:val="404040"/>
          <w:sz w:val="24"/>
          <w:szCs w:val="24"/>
        </w:rPr>
        <w:t>рублю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, мы обратили внимание на </w:t>
      </w:r>
      <w:proofErr w:type="gramStart"/>
      <w:r w:rsidR="00A10758">
        <w:rPr>
          <w:rFonts w:ascii="Times New Roman" w:hAnsi="Times New Roman"/>
          <w:color w:val="404040"/>
          <w:sz w:val="24"/>
          <w:szCs w:val="24"/>
        </w:rPr>
        <w:t>знач</w:t>
      </w:r>
      <w:r w:rsidR="00050501">
        <w:rPr>
          <w:rFonts w:ascii="Times New Roman" w:hAnsi="Times New Roman"/>
          <w:color w:val="404040"/>
          <w:sz w:val="24"/>
          <w:szCs w:val="24"/>
        </w:rPr>
        <w:t>ительную</w:t>
      </w:r>
      <w:proofErr w:type="gramEnd"/>
      <w:r w:rsidR="00050501">
        <w:rPr>
          <w:rFonts w:ascii="Times New Roman" w:hAnsi="Times New Roman"/>
          <w:color w:val="404040"/>
          <w:sz w:val="24"/>
          <w:szCs w:val="24"/>
        </w:rPr>
        <w:t xml:space="preserve"> курсовую волатильность</w:t>
      </w:r>
      <w:r w:rsidR="00587769">
        <w:rPr>
          <w:rFonts w:ascii="Times New Roman" w:hAnsi="Times New Roman"/>
          <w:color w:val="404040"/>
          <w:sz w:val="24"/>
          <w:szCs w:val="24"/>
        </w:rPr>
        <w:t>. Т</w:t>
      </w:r>
      <w:r w:rsidR="00A10758">
        <w:rPr>
          <w:rFonts w:ascii="Times New Roman" w:hAnsi="Times New Roman"/>
          <w:color w:val="404040"/>
          <w:sz w:val="24"/>
          <w:szCs w:val="24"/>
        </w:rPr>
        <w:t>ак, например, на рассматриваемые даты бухгалтерской отчётности</w:t>
      </w:r>
      <w:r w:rsidR="00CE0EB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A10758" w:rsidRPr="00A10758">
        <w:rPr>
          <w:rFonts w:ascii="Times New Roman" w:hAnsi="Times New Roman"/>
          <w:color w:val="404040"/>
          <w:sz w:val="24"/>
          <w:szCs w:val="24"/>
        </w:rPr>
        <w:t>31.12.2013 г.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A10758" w:rsidRPr="00A10758">
        <w:rPr>
          <w:rFonts w:ascii="Times New Roman" w:hAnsi="Times New Roman"/>
          <w:color w:val="404040"/>
          <w:sz w:val="24"/>
          <w:szCs w:val="24"/>
        </w:rPr>
        <w:t>01.06.2014 г.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 максимальная курсовая разница составила около 35% (</w:t>
      </w:r>
      <w:r w:rsidR="00A10758" w:rsidRPr="00A10758">
        <w:rPr>
          <w:rFonts w:ascii="Times New Roman" w:hAnsi="Times New Roman"/>
          <w:color w:val="404040"/>
          <w:sz w:val="24"/>
          <w:szCs w:val="24"/>
        </w:rPr>
        <w:t>3,97199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A10758" w:rsidRPr="00000402">
        <w:rPr>
          <w:rFonts w:ascii="Times New Roman" w:hAnsi="Times New Roman"/>
          <w:color w:val="404040"/>
          <w:sz w:val="24"/>
          <w:szCs w:val="24"/>
        </w:rPr>
        <w:t>руб./грн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. и </w:t>
      </w:r>
      <w:r w:rsidR="00A10758" w:rsidRPr="00A10758">
        <w:rPr>
          <w:rFonts w:ascii="Times New Roman" w:hAnsi="Times New Roman"/>
          <w:color w:val="404040"/>
          <w:sz w:val="24"/>
          <w:szCs w:val="24"/>
        </w:rPr>
        <w:t>2,94366</w:t>
      </w:r>
      <w:r w:rsidR="00A1075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A10758" w:rsidRPr="00000402">
        <w:rPr>
          <w:rFonts w:ascii="Times New Roman" w:hAnsi="Times New Roman"/>
          <w:color w:val="404040"/>
          <w:sz w:val="24"/>
          <w:szCs w:val="24"/>
        </w:rPr>
        <w:t>руб./грн</w:t>
      </w:r>
      <w:r w:rsidR="006C247F">
        <w:rPr>
          <w:rFonts w:ascii="Times New Roman" w:hAnsi="Times New Roman"/>
          <w:color w:val="404040"/>
          <w:sz w:val="24"/>
          <w:szCs w:val="24"/>
        </w:rPr>
        <w:t xml:space="preserve">. соответственно), т. е. пересчёт одной и </w:t>
      </w:r>
      <w:r w:rsidR="006C247F" w:rsidRPr="006C247F">
        <w:rPr>
          <w:rFonts w:ascii="Times New Roman" w:hAnsi="Times New Roman"/>
          <w:color w:val="404040"/>
          <w:sz w:val="24"/>
          <w:szCs w:val="24"/>
        </w:rPr>
        <w:t>той же суммы</w:t>
      </w:r>
      <w:r w:rsidR="006C247F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CE0EBA">
        <w:rPr>
          <w:rFonts w:ascii="Times New Roman" w:hAnsi="Times New Roman"/>
          <w:color w:val="404040"/>
          <w:sz w:val="24"/>
          <w:szCs w:val="24"/>
        </w:rPr>
        <w:t>за период</w:t>
      </w:r>
      <w:r w:rsidR="006C247F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CE0EBA">
        <w:rPr>
          <w:rFonts w:ascii="Times New Roman" w:hAnsi="Times New Roman"/>
          <w:color w:val="404040"/>
          <w:sz w:val="24"/>
          <w:szCs w:val="24"/>
        </w:rPr>
        <w:t>между рассматриваемыми</w:t>
      </w:r>
      <w:r w:rsidR="006C247F">
        <w:rPr>
          <w:rFonts w:ascii="Times New Roman" w:hAnsi="Times New Roman"/>
          <w:color w:val="404040"/>
          <w:sz w:val="24"/>
          <w:szCs w:val="24"/>
        </w:rPr>
        <w:t xml:space="preserve"> дат</w:t>
      </w:r>
      <w:r w:rsidR="00CE0EBA">
        <w:rPr>
          <w:rFonts w:ascii="Times New Roman" w:hAnsi="Times New Roman"/>
          <w:color w:val="404040"/>
          <w:sz w:val="24"/>
          <w:szCs w:val="24"/>
        </w:rPr>
        <w:t>ами</w:t>
      </w:r>
      <w:r w:rsidR="006C247F" w:rsidRPr="006C247F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6C247F">
        <w:rPr>
          <w:rFonts w:ascii="Times New Roman" w:hAnsi="Times New Roman"/>
          <w:color w:val="404040"/>
          <w:sz w:val="24"/>
          <w:szCs w:val="24"/>
        </w:rPr>
        <w:t>даёт различие в 1,3–1,4 раза.</w:t>
      </w:r>
    </w:p>
    <w:p w:rsidR="00D017E5" w:rsidRDefault="00D017E5" w:rsidP="00A10758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Обратив внимание на значительную курсовую динамику,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C22ADB">
        <w:rPr>
          <w:rFonts w:ascii="Times New Roman" w:hAnsi="Times New Roman"/>
          <w:color w:val="404040"/>
          <w:sz w:val="24"/>
          <w:szCs w:val="24"/>
        </w:rPr>
        <w:t>для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сравнения</w:t>
      </w:r>
      <w:r>
        <w:rPr>
          <w:rFonts w:ascii="Times New Roman" w:hAnsi="Times New Roman"/>
          <w:color w:val="404040"/>
          <w:sz w:val="24"/>
          <w:szCs w:val="24"/>
        </w:rPr>
        <w:t>,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мы сопоставили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 другие широко известные в Российской Федерации и в Украине индикаторы: </w:t>
      </w:r>
      <w:r w:rsidR="00C22ADB" w:rsidRPr="00587769">
        <w:rPr>
          <w:rFonts w:ascii="Times New Roman" w:hAnsi="Times New Roman"/>
          <w:i/>
          <w:color w:val="404040"/>
          <w:sz w:val="24"/>
          <w:szCs w:val="24"/>
        </w:rPr>
        <w:t>индекс</w:t>
      </w:r>
      <w:r w:rsidR="00847F08" w:rsidRPr="00587769">
        <w:rPr>
          <w:rFonts w:ascii="Times New Roman" w:hAnsi="Times New Roman"/>
          <w:i/>
          <w:color w:val="404040"/>
          <w:sz w:val="24"/>
          <w:szCs w:val="24"/>
        </w:rPr>
        <w:t xml:space="preserve"> цен потребительских товаров</w:t>
      </w:r>
      <w:r w:rsidR="00C22ADB" w:rsidRPr="00587769">
        <w:rPr>
          <w:rFonts w:ascii="Times New Roman" w:hAnsi="Times New Roman"/>
          <w:i/>
          <w:color w:val="404040"/>
          <w:sz w:val="24"/>
          <w:szCs w:val="24"/>
        </w:rPr>
        <w:t xml:space="preserve"> и услуг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(уро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вень инфляции), а так же </w:t>
      </w:r>
      <w:r w:rsidR="00C22ADB" w:rsidRPr="00587769">
        <w:rPr>
          <w:rFonts w:ascii="Times New Roman" w:hAnsi="Times New Roman"/>
          <w:i/>
          <w:color w:val="404040"/>
          <w:sz w:val="24"/>
          <w:szCs w:val="24"/>
        </w:rPr>
        <w:t>индекс</w:t>
      </w:r>
      <w:r w:rsidR="00847F08" w:rsidRPr="00587769">
        <w:rPr>
          <w:rFonts w:ascii="Times New Roman" w:hAnsi="Times New Roman"/>
          <w:i/>
          <w:color w:val="404040"/>
          <w:sz w:val="24"/>
          <w:szCs w:val="24"/>
        </w:rPr>
        <w:t xml:space="preserve"> стоимости строительно-монтажных работ (СМР).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95A0C">
        <w:rPr>
          <w:rFonts w:ascii="Times New Roman" w:hAnsi="Times New Roman"/>
          <w:color w:val="404040"/>
          <w:sz w:val="24"/>
          <w:szCs w:val="24"/>
        </w:rPr>
        <w:t xml:space="preserve">Такое </w:t>
      </w:r>
      <w:r w:rsidR="00C22ADB">
        <w:rPr>
          <w:rFonts w:ascii="Times New Roman" w:hAnsi="Times New Roman"/>
          <w:color w:val="404040"/>
          <w:sz w:val="24"/>
          <w:szCs w:val="24"/>
        </w:rPr>
        <w:t>сопоставление</w:t>
      </w:r>
      <w:r w:rsidR="009C2E82">
        <w:rPr>
          <w:rFonts w:ascii="Times New Roman" w:hAnsi="Times New Roman"/>
          <w:color w:val="404040"/>
          <w:sz w:val="24"/>
          <w:szCs w:val="24"/>
        </w:rPr>
        <w:t xml:space="preserve"> (отношение)</w:t>
      </w:r>
      <w:r w:rsidR="00495A0C">
        <w:rPr>
          <w:rFonts w:ascii="Times New Roman" w:hAnsi="Times New Roman"/>
          <w:color w:val="404040"/>
          <w:sz w:val="24"/>
          <w:szCs w:val="24"/>
        </w:rPr>
        <w:t xml:space="preserve"> пока</w:t>
      </w:r>
      <w:r w:rsidR="00C22ADB">
        <w:rPr>
          <w:rFonts w:ascii="Times New Roman" w:hAnsi="Times New Roman"/>
          <w:color w:val="404040"/>
          <w:sz w:val="24"/>
          <w:szCs w:val="24"/>
        </w:rPr>
        <w:t>зывает</w:t>
      </w:r>
      <w:r w:rsidR="00495A0C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95A0C" w:rsidRPr="00495A0C">
        <w:rPr>
          <w:rFonts w:ascii="Times New Roman" w:hAnsi="Times New Roman"/>
          <w:i/>
          <w:color w:val="404040"/>
          <w:sz w:val="24"/>
          <w:szCs w:val="24"/>
        </w:rPr>
        <w:t>паритет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покупательной способности </w:t>
      </w:r>
      <w:r w:rsidR="00C22ADB">
        <w:rPr>
          <w:rFonts w:ascii="Times New Roman" w:hAnsi="Times New Roman"/>
          <w:color w:val="404040"/>
          <w:sz w:val="24"/>
          <w:szCs w:val="24"/>
        </w:rPr>
        <w:t>денежных единиц в сферах</w:t>
      </w:r>
      <w:r w:rsidR="00495A0C">
        <w:rPr>
          <w:rFonts w:ascii="Times New Roman" w:hAnsi="Times New Roman"/>
          <w:color w:val="404040"/>
          <w:sz w:val="24"/>
          <w:szCs w:val="24"/>
        </w:rPr>
        <w:t xml:space="preserve"> реализации </w:t>
      </w:r>
      <w:r w:rsidR="00495A0C" w:rsidRPr="00495A0C">
        <w:rPr>
          <w:rFonts w:ascii="Times New Roman" w:hAnsi="Times New Roman"/>
          <w:color w:val="404040"/>
          <w:sz w:val="24"/>
          <w:szCs w:val="24"/>
        </w:rPr>
        <w:t>потребительских товаров</w:t>
      </w:r>
      <w:r w:rsidR="00495A0C">
        <w:rPr>
          <w:rFonts w:ascii="Times New Roman" w:hAnsi="Times New Roman"/>
          <w:color w:val="404040"/>
          <w:sz w:val="24"/>
          <w:szCs w:val="24"/>
        </w:rPr>
        <w:t xml:space="preserve"> и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 услуг, а так же в строительн</w:t>
      </w:r>
      <w:r w:rsidR="00955D85">
        <w:rPr>
          <w:rFonts w:ascii="Times New Roman" w:hAnsi="Times New Roman"/>
          <w:color w:val="404040"/>
          <w:sz w:val="24"/>
          <w:szCs w:val="24"/>
        </w:rPr>
        <w:t>ой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 отра</w:t>
      </w:r>
      <w:r w:rsidR="00955D85">
        <w:rPr>
          <w:rFonts w:ascii="Times New Roman" w:hAnsi="Times New Roman"/>
          <w:color w:val="404040"/>
          <w:sz w:val="24"/>
          <w:szCs w:val="24"/>
        </w:rPr>
        <w:t>сли</w:t>
      </w:r>
      <w:r w:rsidR="00C22ADB">
        <w:rPr>
          <w:rFonts w:ascii="Times New Roman" w:hAnsi="Times New Roman"/>
          <w:color w:val="404040"/>
          <w:sz w:val="24"/>
          <w:szCs w:val="24"/>
        </w:rPr>
        <w:t xml:space="preserve"> обоих стран</w:t>
      </w:r>
      <w:r w:rsidR="00495A0C">
        <w:rPr>
          <w:rFonts w:ascii="Times New Roman" w:hAnsi="Times New Roman"/>
          <w:color w:val="404040"/>
          <w:sz w:val="24"/>
          <w:szCs w:val="24"/>
        </w:rPr>
        <w:t>.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522729" w:rsidRPr="00522729">
        <w:rPr>
          <w:rFonts w:ascii="Times New Roman" w:hAnsi="Times New Roman"/>
          <w:color w:val="404040"/>
          <w:sz w:val="24"/>
          <w:szCs w:val="24"/>
        </w:rPr>
        <w:t>Например, в строительной отрасли понятие паритет валют рассматривается как сопоставление стоимостей, выраженных в валютах  разных странах, при строительстве одного и того же объекта в условиях этих стран</w:t>
      </w:r>
      <w:r w:rsidR="00B01A85">
        <w:rPr>
          <w:rFonts w:ascii="Times New Roman" w:hAnsi="Times New Roman"/>
          <w:color w:val="404040"/>
          <w:sz w:val="24"/>
          <w:szCs w:val="24"/>
        </w:rPr>
        <w:t xml:space="preserve">. </w:t>
      </w:r>
    </w:p>
    <w:p w:rsidR="00964F54" w:rsidRDefault="00AC1FA0" w:rsidP="00A10758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Нами выбраны варианты индексов, которые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 характеризуют изменение стоимости в процентах (долях) к предыдущему месяцу начиная с 01.01.1991 г. Этот год выбран в качестве базового, как </w:t>
      </w:r>
      <w:r w:rsidR="00964F54" w:rsidRPr="0078580C">
        <w:rPr>
          <w:rFonts w:ascii="Times New Roman" w:hAnsi="Times New Roman"/>
          <w:color w:val="404040"/>
          <w:sz w:val="24"/>
          <w:szCs w:val="24"/>
        </w:rPr>
        <w:t>предшествующий разделению э</w:t>
      </w:r>
      <w:r w:rsidR="00CE0EBA">
        <w:rPr>
          <w:rFonts w:ascii="Times New Roman" w:hAnsi="Times New Roman"/>
          <w:color w:val="404040"/>
          <w:sz w:val="24"/>
          <w:szCs w:val="24"/>
        </w:rPr>
        <w:t>кономик двух стран и последующего самостоятельного их развития</w:t>
      </w:r>
      <w:r w:rsidR="00107DE6">
        <w:rPr>
          <w:rFonts w:ascii="Times New Roman" w:hAnsi="Times New Roman"/>
          <w:color w:val="404040"/>
          <w:sz w:val="24"/>
          <w:szCs w:val="24"/>
        </w:rPr>
        <w:t xml:space="preserve"> после распада СССР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. </w:t>
      </w:r>
    </w:p>
    <w:p w:rsidR="00F4251C" w:rsidRDefault="00F4251C" w:rsidP="00A10758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F4251C">
        <w:rPr>
          <w:rFonts w:ascii="Times New Roman" w:hAnsi="Times New Roman"/>
          <w:color w:val="404040"/>
          <w:sz w:val="24"/>
          <w:szCs w:val="24"/>
        </w:rPr>
        <w:t xml:space="preserve">Информация об этих </w:t>
      </w:r>
      <w:r w:rsidR="00587769">
        <w:rPr>
          <w:rFonts w:ascii="Times New Roman" w:hAnsi="Times New Roman"/>
          <w:color w:val="404040"/>
          <w:sz w:val="24"/>
          <w:szCs w:val="24"/>
        </w:rPr>
        <w:t>индикаторах</w:t>
      </w:r>
      <w:r w:rsidRPr="00F4251C">
        <w:rPr>
          <w:rFonts w:ascii="Times New Roman" w:hAnsi="Times New Roman"/>
          <w:color w:val="404040"/>
          <w:sz w:val="24"/>
          <w:szCs w:val="24"/>
        </w:rPr>
        <w:t xml:space="preserve"> представлена в открытом доступе Федеральной службой государственной статистики (Росстат) в Российской Федерации и Государственной службой статистики Украины (</w:t>
      </w:r>
      <w:proofErr w:type="spellStart"/>
      <w:r w:rsidRPr="00F4251C">
        <w:rPr>
          <w:rFonts w:ascii="Times New Roman" w:hAnsi="Times New Roman"/>
          <w:color w:val="404040"/>
          <w:sz w:val="24"/>
          <w:szCs w:val="24"/>
        </w:rPr>
        <w:t>Госстат</w:t>
      </w:r>
      <w:proofErr w:type="spellEnd"/>
      <w:r w:rsidRPr="00F4251C">
        <w:rPr>
          <w:rFonts w:ascii="Times New Roman" w:hAnsi="Times New Roman"/>
          <w:color w:val="404040"/>
          <w:sz w:val="24"/>
          <w:szCs w:val="24"/>
        </w:rPr>
        <w:t>) в Украине.</w:t>
      </w:r>
    </w:p>
    <w:p w:rsidR="00F14C32" w:rsidRDefault="008730D7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По</w:t>
      </w:r>
      <w:r w:rsidR="00AC1FA0">
        <w:rPr>
          <w:rFonts w:ascii="Times New Roman" w:hAnsi="Times New Roman"/>
          <w:color w:val="404040"/>
          <w:sz w:val="24"/>
          <w:szCs w:val="24"/>
        </w:rPr>
        <w:t xml:space="preserve"> и</w:t>
      </w:r>
      <w:r>
        <w:rPr>
          <w:rFonts w:ascii="Times New Roman" w:hAnsi="Times New Roman"/>
          <w:color w:val="404040"/>
          <w:sz w:val="24"/>
          <w:szCs w:val="24"/>
        </w:rPr>
        <w:t>ндексам</w:t>
      </w:r>
      <w:r w:rsidR="00F4251C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F21CA1" w:rsidRPr="00F4251C">
        <w:rPr>
          <w:rFonts w:ascii="Times New Roman" w:hAnsi="Times New Roman"/>
          <w:i/>
          <w:color w:val="404040"/>
          <w:sz w:val="24"/>
          <w:szCs w:val="24"/>
        </w:rPr>
        <w:t>и</w:t>
      </w:r>
      <w:r w:rsidR="00847F08" w:rsidRPr="00F4251C">
        <w:rPr>
          <w:rFonts w:ascii="Times New Roman" w:hAnsi="Times New Roman"/>
          <w:i/>
          <w:color w:val="404040"/>
          <w:sz w:val="24"/>
          <w:szCs w:val="24"/>
        </w:rPr>
        <w:t>нфляци</w:t>
      </w:r>
      <w:r w:rsidR="00F21CA1" w:rsidRPr="00F4251C">
        <w:rPr>
          <w:rFonts w:ascii="Times New Roman" w:hAnsi="Times New Roman"/>
          <w:i/>
          <w:color w:val="404040"/>
          <w:sz w:val="24"/>
          <w:szCs w:val="24"/>
        </w:rPr>
        <w:t>и</w:t>
      </w:r>
      <w:r w:rsidR="00F21CA1">
        <w:rPr>
          <w:rFonts w:ascii="Times New Roman" w:hAnsi="Times New Roman"/>
          <w:color w:val="404040"/>
          <w:sz w:val="24"/>
          <w:szCs w:val="24"/>
        </w:rPr>
        <w:t xml:space="preserve"> нет необходимости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F21CA1">
        <w:rPr>
          <w:rFonts w:ascii="Times New Roman" w:hAnsi="Times New Roman"/>
          <w:color w:val="404040"/>
          <w:sz w:val="24"/>
          <w:szCs w:val="24"/>
        </w:rPr>
        <w:t>давать особы</w:t>
      </w:r>
      <w:r>
        <w:rPr>
          <w:rFonts w:ascii="Times New Roman" w:hAnsi="Times New Roman"/>
          <w:color w:val="404040"/>
          <w:sz w:val="24"/>
          <w:szCs w:val="24"/>
        </w:rPr>
        <w:t>х пояснений</w:t>
      </w:r>
      <w:r w:rsidR="00F21CA1">
        <w:rPr>
          <w:rFonts w:ascii="Times New Roman" w:hAnsi="Times New Roman"/>
          <w:color w:val="404040"/>
          <w:sz w:val="24"/>
          <w:szCs w:val="24"/>
        </w:rPr>
        <w:t xml:space="preserve">, а в отношении </w:t>
      </w:r>
      <w:r w:rsidR="00F21CA1" w:rsidRPr="00F4251C">
        <w:rPr>
          <w:rFonts w:ascii="Times New Roman" w:hAnsi="Times New Roman"/>
          <w:i/>
          <w:color w:val="404040"/>
          <w:sz w:val="24"/>
          <w:szCs w:val="24"/>
        </w:rPr>
        <w:t>строительно-монтажных работ (СМР)</w:t>
      </w:r>
      <w:r w:rsidR="00F21CA1">
        <w:rPr>
          <w:rFonts w:ascii="Times New Roman" w:hAnsi="Times New Roman"/>
          <w:color w:val="404040"/>
          <w:sz w:val="24"/>
          <w:szCs w:val="24"/>
        </w:rPr>
        <w:t xml:space="preserve"> отметим следующее. В оценочной практике мы неоднократно сталкивали</w:t>
      </w:r>
      <w:r w:rsidR="00F14C32">
        <w:rPr>
          <w:rFonts w:ascii="Times New Roman" w:hAnsi="Times New Roman"/>
          <w:color w:val="404040"/>
          <w:sz w:val="24"/>
          <w:szCs w:val="24"/>
        </w:rPr>
        <w:t>сь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F14C32">
        <w:rPr>
          <w:rFonts w:ascii="Times New Roman" w:hAnsi="Times New Roman"/>
          <w:color w:val="404040"/>
          <w:sz w:val="24"/>
          <w:szCs w:val="24"/>
        </w:rPr>
        <w:t>со сметными расчётами стоимости СМР</w:t>
      </w:r>
      <w:r w:rsidR="00F21CA1">
        <w:rPr>
          <w:rFonts w:ascii="Times New Roman" w:hAnsi="Times New Roman"/>
          <w:color w:val="404040"/>
          <w:sz w:val="24"/>
          <w:szCs w:val="24"/>
        </w:rPr>
        <w:t xml:space="preserve">, в которых учитываются </w:t>
      </w:r>
      <w:r w:rsidR="00F21CA1" w:rsidRPr="00F21CA1">
        <w:rPr>
          <w:rFonts w:ascii="Times New Roman" w:hAnsi="Times New Roman"/>
          <w:color w:val="404040"/>
          <w:sz w:val="24"/>
          <w:szCs w:val="24"/>
        </w:rPr>
        <w:t xml:space="preserve">такие основные параметры в строительстве как стоимость </w:t>
      </w:r>
      <w:r w:rsidR="00F21CA1">
        <w:rPr>
          <w:rFonts w:ascii="Times New Roman" w:hAnsi="Times New Roman"/>
          <w:color w:val="404040"/>
          <w:sz w:val="24"/>
          <w:szCs w:val="24"/>
        </w:rPr>
        <w:t>строй</w:t>
      </w:r>
      <w:r w:rsidR="00F21CA1" w:rsidRPr="00F21CA1">
        <w:rPr>
          <w:rFonts w:ascii="Times New Roman" w:hAnsi="Times New Roman"/>
          <w:color w:val="404040"/>
          <w:sz w:val="24"/>
          <w:szCs w:val="24"/>
        </w:rPr>
        <w:t>материалов, машин и механизмов, а так же трудозатраты и уровень заработной платы</w:t>
      </w:r>
      <w:r w:rsidR="00F21CA1">
        <w:rPr>
          <w:rFonts w:ascii="Times New Roman" w:hAnsi="Times New Roman"/>
          <w:color w:val="404040"/>
          <w:sz w:val="24"/>
          <w:szCs w:val="24"/>
        </w:rPr>
        <w:t xml:space="preserve"> персонала, </w:t>
      </w:r>
      <w:r w:rsidR="00F21CA1" w:rsidRPr="00F21CA1">
        <w:rPr>
          <w:rFonts w:ascii="Times New Roman" w:hAnsi="Times New Roman"/>
          <w:color w:val="404040"/>
          <w:sz w:val="24"/>
          <w:szCs w:val="24"/>
        </w:rPr>
        <w:t>обеспечивающего выполнение этих работ</w:t>
      </w:r>
      <w:r w:rsidR="00F21CA1">
        <w:rPr>
          <w:rFonts w:ascii="Times New Roman" w:hAnsi="Times New Roman"/>
          <w:color w:val="404040"/>
          <w:sz w:val="24"/>
          <w:szCs w:val="24"/>
        </w:rPr>
        <w:t>.</w:t>
      </w:r>
      <w:r w:rsidR="00847F0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F21CA1">
        <w:rPr>
          <w:rFonts w:ascii="Times New Roman" w:hAnsi="Times New Roman"/>
          <w:color w:val="404040"/>
          <w:sz w:val="24"/>
          <w:szCs w:val="24"/>
        </w:rPr>
        <w:t>Таким образом, стоимость СМР является одним из основополагающих параметров, характеризующих уровень цен в строительстве</w:t>
      </w:r>
      <w:r w:rsidR="001714E6">
        <w:rPr>
          <w:rFonts w:ascii="Times New Roman" w:hAnsi="Times New Roman"/>
          <w:color w:val="404040"/>
          <w:sz w:val="24"/>
          <w:szCs w:val="24"/>
        </w:rPr>
        <w:t>, что в свою очередь в значительной степени определяет уровень цен на первичном рынке недвижимости</w:t>
      </w:r>
      <w:r w:rsidR="00F21CA1">
        <w:rPr>
          <w:rFonts w:ascii="Times New Roman" w:hAnsi="Times New Roman"/>
          <w:color w:val="404040"/>
          <w:sz w:val="24"/>
          <w:szCs w:val="24"/>
        </w:rPr>
        <w:t>.</w:t>
      </w:r>
    </w:p>
    <w:p w:rsidR="00964F54" w:rsidRDefault="00D4139C" w:rsidP="00964F5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 представленных ниже двух графиках показана динамика </w:t>
      </w:r>
      <w:r w:rsidR="001714E6">
        <w:rPr>
          <w:rFonts w:ascii="Times New Roman" w:hAnsi="Times New Roman"/>
          <w:color w:val="404040"/>
          <w:sz w:val="24"/>
          <w:szCs w:val="24"/>
        </w:rPr>
        <w:t xml:space="preserve">изменения </w:t>
      </w:r>
      <w:r w:rsidR="001714E6" w:rsidRPr="00587769">
        <w:rPr>
          <w:rFonts w:ascii="Times New Roman" w:hAnsi="Times New Roman"/>
          <w:i/>
          <w:color w:val="404040"/>
          <w:sz w:val="24"/>
          <w:szCs w:val="24"/>
        </w:rPr>
        <w:t>индексов потребительских цен и</w:t>
      </w:r>
      <w:r w:rsidR="00587769">
        <w:rPr>
          <w:rFonts w:ascii="Times New Roman" w:hAnsi="Times New Roman"/>
          <w:i/>
          <w:color w:val="404040"/>
          <w:sz w:val="24"/>
          <w:szCs w:val="24"/>
        </w:rPr>
        <w:t xml:space="preserve"> услуг</w:t>
      </w:r>
      <w:r w:rsidR="00587769" w:rsidRPr="00587769">
        <w:rPr>
          <w:rFonts w:ascii="Times New Roman" w:hAnsi="Times New Roman"/>
          <w:color w:val="404040"/>
          <w:sz w:val="24"/>
          <w:szCs w:val="24"/>
        </w:rPr>
        <w:t>, а также</w:t>
      </w:r>
      <w:r w:rsidR="001714E6" w:rsidRPr="00587769">
        <w:rPr>
          <w:rFonts w:ascii="Times New Roman" w:hAnsi="Times New Roman"/>
          <w:i/>
          <w:color w:val="404040"/>
          <w:sz w:val="24"/>
          <w:szCs w:val="24"/>
        </w:rPr>
        <w:t xml:space="preserve"> стоимости СМР</w:t>
      </w:r>
      <w:r w:rsidR="001714E6">
        <w:rPr>
          <w:rFonts w:ascii="Times New Roman" w:hAnsi="Times New Roman"/>
          <w:color w:val="404040"/>
          <w:sz w:val="24"/>
          <w:szCs w:val="24"/>
        </w:rPr>
        <w:t xml:space="preserve"> в </w:t>
      </w:r>
      <w:r w:rsidR="001714E6" w:rsidRPr="001714E6">
        <w:rPr>
          <w:rFonts w:ascii="Times New Roman" w:hAnsi="Times New Roman"/>
          <w:color w:val="404040"/>
          <w:sz w:val="24"/>
          <w:szCs w:val="24"/>
        </w:rPr>
        <w:t>Российской Федерации</w:t>
      </w:r>
      <w:r w:rsidR="001714E6">
        <w:rPr>
          <w:rFonts w:ascii="Times New Roman" w:hAnsi="Times New Roman"/>
          <w:color w:val="404040"/>
          <w:sz w:val="24"/>
          <w:szCs w:val="24"/>
        </w:rPr>
        <w:t xml:space="preserve"> и </w:t>
      </w:r>
      <w:r w:rsidR="00A73D92">
        <w:rPr>
          <w:rFonts w:ascii="Times New Roman" w:hAnsi="Times New Roman"/>
          <w:color w:val="404040"/>
          <w:sz w:val="24"/>
          <w:szCs w:val="24"/>
        </w:rPr>
        <w:t xml:space="preserve">в </w:t>
      </w:r>
      <w:r w:rsidR="001714E6">
        <w:rPr>
          <w:rFonts w:ascii="Times New Roman" w:hAnsi="Times New Roman"/>
          <w:color w:val="404040"/>
          <w:sz w:val="24"/>
          <w:szCs w:val="24"/>
        </w:rPr>
        <w:t>Украине.</w:t>
      </w:r>
      <w:r w:rsidR="007F573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2B676A">
        <w:rPr>
          <w:rFonts w:ascii="Times New Roman" w:hAnsi="Times New Roman"/>
          <w:color w:val="404040"/>
          <w:sz w:val="24"/>
          <w:szCs w:val="24"/>
        </w:rPr>
        <w:t>Выбор общих периодов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 (</w:t>
      </w:r>
      <w:r w:rsidR="002B676A">
        <w:rPr>
          <w:rFonts w:ascii="Times New Roman" w:hAnsi="Times New Roman"/>
          <w:color w:val="404040"/>
          <w:sz w:val="24"/>
          <w:szCs w:val="24"/>
        </w:rPr>
        <w:t>отрезков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 времени), за которые выполнялось сопоставление, определ</w:t>
      </w:r>
      <w:r w:rsidR="002B676A">
        <w:rPr>
          <w:rFonts w:ascii="Times New Roman" w:hAnsi="Times New Roman"/>
          <w:color w:val="404040"/>
          <w:sz w:val="24"/>
          <w:szCs w:val="24"/>
        </w:rPr>
        <w:t>ялся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 полноценностью </w:t>
      </w:r>
      <w:r w:rsidR="00877ECC">
        <w:rPr>
          <w:rFonts w:ascii="Times New Roman" w:hAnsi="Times New Roman"/>
          <w:color w:val="404040"/>
          <w:sz w:val="24"/>
          <w:szCs w:val="24"/>
        </w:rPr>
        <w:t>имеющейся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2B676A" w:rsidRPr="002B676A">
        <w:rPr>
          <w:rFonts w:ascii="Times New Roman" w:hAnsi="Times New Roman"/>
          <w:color w:val="404040"/>
          <w:sz w:val="24"/>
          <w:szCs w:val="24"/>
        </w:rPr>
        <w:t xml:space="preserve">в настоящее время </w:t>
      </w:r>
      <w:r w:rsidR="002B676A">
        <w:rPr>
          <w:rFonts w:ascii="Times New Roman" w:hAnsi="Times New Roman"/>
          <w:color w:val="404040"/>
          <w:sz w:val="24"/>
          <w:szCs w:val="24"/>
        </w:rPr>
        <w:t xml:space="preserve">официальной </w:t>
      </w:r>
      <w:r w:rsidR="00964F54">
        <w:rPr>
          <w:rFonts w:ascii="Times New Roman" w:hAnsi="Times New Roman"/>
          <w:color w:val="404040"/>
          <w:sz w:val="24"/>
          <w:szCs w:val="24"/>
        </w:rPr>
        <w:t>информации</w:t>
      </w:r>
      <w:r w:rsidR="002B676A">
        <w:rPr>
          <w:rFonts w:ascii="Times New Roman" w:hAnsi="Times New Roman"/>
          <w:color w:val="404040"/>
          <w:sz w:val="24"/>
          <w:szCs w:val="24"/>
        </w:rPr>
        <w:t xml:space="preserve"> о прошедших периодах</w:t>
      </w:r>
      <w:r w:rsidR="00877ECC">
        <w:rPr>
          <w:rFonts w:ascii="Times New Roman" w:hAnsi="Times New Roman"/>
          <w:color w:val="404040"/>
          <w:sz w:val="24"/>
          <w:szCs w:val="24"/>
        </w:rPr>
        <w:t>, вплоть до 01.01.1991 г</w:t>
      </w:r>
      <w:r w:rsidR="00964F54">
        <w:rPr>
          <w:rFonts w:ascii="Times New Roman" w:hAnsi="Times New Roman"/>
          <w:color w:val="404040"/>
          <w:sz w:val="24"/>
          <w:szCs w:val="24"/>
        </w:rPr>
        <w:t xml:space="preserve">. </w:t>
      </w:r>
    </w:p>
    <w:p w:rsidR="005E3404" w:rsidRDefault="005E3404" w:rsidP="005E340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>
        <w:rPr>
          <w:rFonts w:ascii="Times New Roman" w:hAnsi="Times New Roman"/>
          <w:color w:val="404040"/>
          <w:sz w:val="24"/>
          <w:szCs w:val="24"/>
        </w:rPr>
        <w:t xml:space="preserve">На графике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>индексов потребительских цен и услуг</w:t>
      </w:r>
      <w:r>
        <w:rPr>
          <w:rFonts w:ascii="Times New Roman" w:hAnsi="Times New Roman"/>
          <w:color w:val="404040"/>
          <w:sz w:val="24"/>
          <w:szCs w:val="24"/>
        </w:rPr>
        <w:t xml:space="preserve"> применена </w:t>
      </w:r>
      <w:r w:rsidRPr="00F4251C">
        <w:rPr>
          <w:rFonts w:ascii="Times New Roman" w:hAnsi="Times New Roman"/>
          <w:i/>
          <w:color w:val="404040"/>
          <w:sz w:val="24"/>
          <w:szCs w:val="24"/>
        </w:rPr>
        <w:t>логарифмическая шкала</w:t>
      </w:r>
      <w:r>
        <w:rPr>
          <w:rFonts w:ascii="Times New Roman" w:hAnsi="Times New Roman"/>
          <w:color w:val="404040"/>
          <w:sz w:val="24"/>
          <w:szCs w:val="24"/>
        </w:rPr>
        <w:t xml:space="preserve"> функциональных значений для более наглядного их отображения, поскольку абсолютные значения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>индексов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>потребительских цен</w:t>
      </w:r>
      <w:r>
        <w:rPr>
          <w:rFonts w:ascii="Times New Roman" w:hAnsi="Times New Roman"/>
          <w:i/>
          <w:color w:val="404040"/>
          <w:sz w:val="24"/>
          <w:szCs w:val="24"/>
        </w:rPr>
        <w:t xml:space="preserve"> и услуг</w:t>
      </w:r>
      <w:r>
        <w:rPr>
          <w:rFonts w:ascii="Times New Roman" w:hAnsi="Times New Roman"/>
          <w:color w:val="404040"/>
          <w:sz w:val="24"/>
          <w:szCs w:val="24"/>
        </w:rPr>
        <w:t xml:space="preserve"> за период с 01.01.1991 г. по 30.10.2014 г. </w:t>
      </w:r>
      <w:r>
        <w:rPr>
          <w:rFonts w:ascii="Times New Roman" w:hAnsi="Times New Roman"/>
          <w:color w:val="404040"/>
          <w:sz w:val="24"/>
          <w:szCs w:val="24"/>
        </w:rPr>
        <w:lastRenderedPageBreak/>
        <w:t>имеют разброс более</w:t>
      </w:r>
      <w:r w:rsidR="00A24D1D">
        <w:rPr>
          <w:rFonts w:ascii="Times New Roman" w:hAnsi="Times New Roman"/>
          <w:color w:val="404040"/>
          <w:sz w:val="24"/>
          <w:szCs w:val="24"/>
        </w:rPr>
        <w:t xml:space="preserve"> чем в</w:t>
      </w:r>
      <w:r w:rsidR="00541D6A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 150 </w:t>
      </w:r>
      <w:r w:rsidR="00107DE6">
        <w:rPr>
          <w:rFonts w:ascii="Times New Roman" w:hAnsi="Times New Roman"/>
          <w:color w:val="404040"/>
          <w:sz w:val="24"/>
          <w:szCs w:val="24"/>
        </w:rPr>
        <w:t>̀</w:t>
      </w:r>
      <w:r>
        <w:rPr>
          <w:rFonts w:ascii="Times New Roman" w:hAnsi="Times New Roman"/>
          <w:color w:val="404040"/>
          <w:sz w:val="24"/>
          <w:szCs w:val="24"/>
        </w:rPr>
        <w:t>000 раз в Украине и более</w:t>
      </w:r>
      <w:r w:rsidR="00A24D1D">
        <w:rPr>
          <w:rFonts w:ascii="Times New Roman" w:hAnsi="Times New Roman"/>
          <w:color w:val="404040"/>
          <w:sz w:val="24"/>
          <w:szCs w:val="24"/>
        </w:rPr>
        <w:t xml:space="preserve"> чем в</w:t>
      </w:r>
      <w:r>
        <w:rPr>
          <w:rFonts w:ascii="Times New Roman" w:hAnsi="Times New Roman"/>
          <w:color w:val="404040"/>
          <w:sz w:val="24"/>
          <w:szCs w:val="24"/>
        </w:rPr>
        <w:t xml:space="preserve">  6 </w:t>
      </w:r>
      <w:r w:rsidR="00107DE6">
        <w:rPr>
          <w:rFonts w:ascii="Times New Roman" w:hAnsi="Times New Roman"/>
          <w:color w:val="404040"/>
          <w:sz w:val="24"/>
          <w:szCs w:val="24"/>
        </w:rPr>
        <w:t>̀</w:t>
      </w:r>
      <w:r>
        <w:rPr>
          <w:rFonts w:ascii="Times New Roman" w:hAnsi="Times New Roman"/>
          <w:color w:val="404040"/>
          <w:sz w:val="24"/>
          <w:szCs w:val="24"/>
        </w:rPr>
        <w:t>000 раз в Российской Федерации.</w:t>
      </w:r>
      <w:proofErr w:type="gramEnd"/>
    </w:p>
    <w:p w:rsidR="005E3404" w:rsidRDefault="005E3404" w:rsidP="005E340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Напомним, что за время самостоятельного развития в </w:t>
      </w:r>
      <w:proofErr w:type="gramStart"/>
      <w:r>
        <w:rPr>
          <w:rFonts w:ascii="Times New Roman" w:hAnsi="Times New Roman"/>
          <w:color w:val="404040"/>
          <w:sz w:val="24"/>
          <w:szCs w:val="24"/>
        </w:rPr>
        <w:t>обоих</w:t>
      </w:r>
      <w:proofErr w:type="gramEnd"/>
      <w:r>
        <w:rPr>
          <w:rFonts w:ascii="Times New Roman" w:hAnsi="Times New Roman"/>
          <w:color w:val="404040"/>
          <w:sz w:val="24"/>
          <w:szCs w:val="24"/>
        </w:rPr>
        <w:t xml:space="preserve"> странах проводилась деноминация национальных валют. Так, в Российской Федерации с 01.01.1998 г. значение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>рубля</w:t>
      </w:r>
      <w:r>
        <w:rPr>
          <w:rFonts w:ascii="Times New Roman" w:hAnsi="Times New Roman"/>
          <w:color w:val="404040"/>
          <w:sz w:val="24"/>
          <w:szCs w:val="24"/>
        </w:rPr>
        <w:t xml:space="preserve"> уменьшилось на три порядка (в 1000 раз), а в Украине с 02.09.1996 г., с введением в обращение </w:t>
      </w:r>
      <w:proofErr w:type="spellStart"/>
      <w:r w:rsidRPr="00587769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 xml:space="preserve">, существовавший курс карбованца уменьшился на пять порядков (в 100 000 раз).  </w:t>
      </w:r>
    </w:p>
    <w:p w:rsidR="001C5FA4" w:rsidRPr="00964F54" w:rsidRDefault="001C5FA4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D60EA4" w:rsidRDefault="0075794A" w:rsidP="00D4139C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359FC7FB">
            <wp:extent cx="5584190" cy="24568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39C" w:rsidRPr="00D52F2B" w:rsidRDefault="00D4139C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EB5FA0" w:rsidRPr="005E3404" w:rsidRDefault="00EB5FA0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 шкале времени </w:t>
      </w:r>
      <w:r w:rsidRPr="00E2359D">
        <w:rPr>
          <w:rFonts w:ascii="Times New Roman" w:hAnsi="Times New Roman"/>
          <w:color w:val="404040"/>
          <w:sz w:val="24"/>
          <w:szCs w:val="24"/>
        </w:rPr>
        <w:t>указанн</w:t>
      </w:r>
      <w:r>
        <w:rPr>
          <w:rFonts w:ascii="Times New Roman" w:hAnsi="Times New Roman"/>
          <w:color w:val="404040"/>
          <w:sz w:val="24"/>
          <w:szCs w:val="24"/>
        </w:rPr>
        <w:t>ые цифры означаю</w:t>
      </w:r>
      <w:r w:rsidRPr="00E2359D">
        <w:rPr>
          <w:rFonts w:ascii="Times New Roman" w:hAnsi="Times New Roman"/>
          <w:color w:val="404040"/>
          <w:sz w:val="24"/>
          <w:szCs w:val="24"/>
        </w:rPr>
        <w:t xml:space="preserve">т </w:t>
      </w:r>
      <w:r>
        <w:rPr>
          <w:rFonts w:ascii="Times New Roman" w:hAnsi="Times New Roman"/>
          <w:color w:val="404040"/>
          <w:sz w:val="24"/>
          <w:szCs w:val="24"/>
        </w:rPr>
        <w:t>начало соответствующего года.</w:t>
      </w:r>
    </w:p>
    <w:p w:rsidR="005E3404" w:rsidRDefault="005E3404" w:rsidP="005E3404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 </w:t>
      </w:r>
      <w:r w:rsidR="00E677F3">
        <w:rPr>
          <w:rFonts w:ascii="Times New Roman" w:hAnsi="Times New Roman"/>
          <w:color w:val="404040"/>
          <w:sz w:val="24"/>
          <w:szCs w:val="24"/>
        </w:rPr>
        <w:t xml:space="preserve">следующем </w:t>
      </w:r>
      <w:r>
        <w:rPr>
          <w:rFonts w:ascii="Times New Roman" w:hAnsi="Times New Roman"/>
          <w:color w:val="404040"/>
          <w:sz w:val="24"/>
          <w:szCs w:val="24"/>
        </w:rPr>
        <w:t xml:space="preserve">графике </w:t>
      </w:r>
      <w:r w:rsidRPr="000A12E9">
        <w:rPr>
          <w:rFonts w:ascii="Times New Roman" w:hAnsi="Times New Roman"/>
          <w:i/>
          <w:color w:val="404040"/>
          <w:sz w:val="24"/>
          <w:szCs w:val="24"/>
        </w:rPr>
        <w:t>индексов</w:t>
      </w:r>
      <w:r w:rsidRPr="000A12E9">
        <w:rPr>
          <w:i/>
        </w:rPr>
        <w:t xml:space="preserve"> </w:t>
      </w:r>
      <w:r w:rsidRPr="000A12E9">
        <w:rPr>
          <w:rFonts w:ascii="Times New Roman" w:hAnsi="Times New Roman"/>
          <w:i/>
          <w:color w:val="404040"/>
          <w:sz w:val="24"/>
          <w:szCs w:val="24"/>
        </w:rPr>
        <w:t>стоимости СМР</w:t>
      </w:r>
      <w:r>
        <w:rPr>
          <w:rFonts w:ascii="Times New Roman" w:hAnsi="Times New Roman"/>
          <w:color w:val="404040"/>
          <w:sz w:val="24"/>
          <w:szCs w:val="24"/>
        </w:rPr>
        <w:t xml:space="preserve"> данные представлены начиная не с 01.01.1991 г., как на </w:t>
      </w:r>
      <w:r w:rsidR="002076A3">
        <w:rPr>
          <w:rFonts w:ascii="Times New Roman" w:hAnsi="Times New Roman"/>
          <w:color w:val="404040"/>
          <w:sz w:val="24"/>
          <w:szCs w:val="24"/>
        </w:rPr>
        <w:t>предыдущем</w:t>
      </w:r>
      <w:r>
        <w:rPr>
          <w:rFonts w:ascii="Times New Roman" w:hAnsi="Times New Roman"/>
          <w:color w:val="404040"/>
          <w:sz w:val="24"/>
          <w:szCs w:val="24"/>
        </w:rPr>
        <w:t xml:space="preserve"> графике, а с 01.01.2004 г., это обусловлено отсутствием до этой даты в открытом доступе официальной информации, </w:t>
      </w:r>
      <w:r w:rsidR="003C3BFF" w:rsidRPr="003C3BFF">
        <w:rPr>
          <w:rFonts w:ascii="Times New Roman" w:hAnsi="Times New Roman"/>
          <w:color w:val="404040"/>
          <w:sz w:val="24"/>
          <w:szCs w:val="24"/>
        </w:rPr>
        <w:t xml:space="preserve">формируемой </w:t>
      </w:r>
      <w:r>
        <w:rPr>
          <w:rFonts w:ascii="Times New Roman" w:hAnsi="Times New Roman"/>
          <w:color w:val="404040"/>
          <w:sz w:val="24"/>
          <w:szCs w:val="24"/>
        </w:rPr>
        <w:t>помесячно.</w:t>
      </w:r>
    </w:p>
    <w:p w:rsidR="005E3404" w:rsidRPr="00964F54" w:rsidRDefault="005E3404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D4139C" w:rsidRDefault="0075794A" w:rsidP="00D4139C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2BADD908">
            <wp:extent cx="5578475" cy="24511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39C" w:rsidRPr="00D52F2B" w:rsidRDefault="00D4139C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C04DFA" w:rsidRDefault="007A34AF" w:rsidP="00492682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Для рассмотренных процессов характерным является их </w:t>
      </w:r>
      <w:r w:rsidR="00492682">
        <w:rPr>
          <w:rFonts w:ascii="Times New Roman" w:hAnsi="Times New Roman"/>
          <w:color w:val="404040"/>
          <w:sz w:val="24"/>
          <w:szCs w:val="24"/>
        </w:rPr>
        <w:t>значительная динамика и</w:t>
      </w:r>
      <w:r w:rsidR="006E338F">
        <w:rPr>
          <w:rFonts w:ascii="Times New Roman" w:hAnsi="Times New Roman"/>
          <w:color w:val="404040"/>
          <w:sz w:val="24"/>
          <w:szCs w:val="24"/>
        </w:rPr>
        <w:t>,</w:t>
      </w:r>
      <w:r w:rsidR="00492682">
        <w:rPr>
          <w:rFonts w:ascii="Times New Roman" w:hAnsi="Times New Roman"/>
          <w:color w:val="404040"/>
          <w:sz w:val="24"/>
          <w:szCs w:val="24"/>
        </w:rPr>
        <w:t xml:space="preserve"> если в девяностых годах характерным был общий для всех сфер деятельности большой темп инфляционных процессов, то в двухтысячные – темп зримо снизился как в Российской Федерации, так и в Украине. </w:t>
      </w:r>
    </w:p>
    <w:p w:rsidR="00492682" w:rsidRDefault="00492682" w:rsidP="00492682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О</w:t>
      </w:r>
      <w:r w:rsidRPr="00601E57">
        <w:rPr>
          <w:rFonts w:ascii="Times New Roman" w:hAnsi="Times New Roman"/>
          <w:color w:val="404040"/>
          <w:sz w:val="24"/>
          <w:szCs w:val="24"/>
        </w:rPr>
        <w:t>бращает на себя внимание</w:t>
      </w:r>
      <w:r>
        <w:rPr>
          <w:rFonts w:ascii="Times New Roman" w:hAnsi="Times New Roman"/>
          <w:color w:val="404040"/>
          <w:sz w:val="24"/>
          <w:szCs w:val="24"/>
        </w:rPr>
        <w:t xml:space="preserve"> наличие идентичных характерных точек на кривых изменения индексов Российской Федерации и Украины – это точки перегибов и </w:t>
      </w:r>
      <w:r w:rsidR="002076A3">
        <w:rPr>
          <w:rFonts w:ascii="Times New Roman" w:hAnsi="Times New Roman"/>
          <w:color w:val="404040"/>
          <w:sz w:val="24"/>
          <w:szCs w:val="24"/>
        </w:rPr>
        <w:t>из</w:t>
      </w:r>
      <w:r>
        <w:rPr>
          <w:rFonts w:ascii="Times New Roman" w:hAnsi="Times New Roman"/>
          <w:color w:val="404040"/>
          <w:sz w:val="24"/>
          <w:szCs w:val="24"/>
        </w:rPr>
        <w:t xml:space="preserve">ломов, локальных максимумов и минимумов, при этом, достаточно ярко </w:t>
      </w:r>
      <w:proofErr w:type="gramStart"/>
      <w:r>
        <w:rPr>
          <w:rFonts w:ascii="Times New Roman" w:hAnsi="Times New Roman"/>
          <w:color w:val="404040"/>
          <w:sz w:val="24"/>
          <w:szCs w:val="24"/>
        </w:rPr>
        <w:t>выражена</w:t>
      </w:r>
      <w:proofErr w:type="gramEnd"/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04040"/>
          <w:sz w:val="24"/>
          <w:szCs w:val="24"/>
        </w:rPr>
        <w:t>эквидистантность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 xml:space="preserve"> этих кривых на </w:t>
      </w:r>
      <w:r w:rsidR="004C759E">
        <w:rPr>
          <w:rFonts w:ascii="Times New Roman" w:hAnsi="Times New Roman"/>
          <w:color w:val="404040"/>
          <w:sz w:val="24"/>
          <w:szCs w:val="24"/>
        </w:rPr>
        <w:t>периоде</w:t>
      </w:r>
      <w:r>
        <w:rPr>
          <w:rFonts w:ascii="Times New Roman" w:hAnsi="Times New Roman"/>
          <w:color w:val="404040"/>
          <w:sz w:val="24"/>
          <w:szCs w:val="24"/>
        </w:rPr>
        <w:t xml:space="preserve"> прошедших двух десятилетий.</w:t>
      </w:r>
      <w:r w:rsidR="003747FA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7F573E" w:rsidRDefault="00F30B78" w:rsidP="007F573E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На следующих двух графиках показана</w:t>
      </w:r>
      <w:r w:rsidR="006E338F">
        <w:rPr>
          <w:rFonts w:ascii="Times New Roman" w:hAnsi="Times New Roman"/>
          <w:color w:val="404040"/>
          <w:sz w:val="24"/>
          <w:szCs w:val="24"/>
        </w:rPr>
        <w:t xml:space="preserve"> в комплексе</w:t>
      </w:r>
      <w:r>
        <w:rPr>
          <w:rFonts w:ascii="Times New Roman" w:hAnsi="Times New Roman"/>
          <w:color w:val="404040"/>
          <w:sz w:val="24"/>
          <w:szCs w:val="24"/>
        </w:rPr>
        <w:t xml:space="preserve"> динамика изменения </w:t>
      </w:r>
      <w:r w:rsidRPr="00F30B78">
        <w:rPr>
          <w:rFonts w:ascii="Times New Roman" w:hAnsi="Times New Roman"/>
          <w:color w:val="404040"/>
          <w:sz w:val="24"/>
          <w:szCs w:val="24"/>
        </w:rPr>
        <w:t>официальн</w:t>
      </w:r>
      <w:r>
        <w:rPr>
          <w:rFonts w:ascii="Times New Roman" w:hAnsi="Times New Roman"/>
          <w:color w:val="404040"/>
          <w:sz w:val="24"/>
          <w:szCs w:val="24"/>
        </w:rPr>
        <w:t>ого курса</w:t>
      </w:r>
      <w:r w:rsidRPr="00F30B78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 w:rsidRPr="00050501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 w:rsidRPr="00F30B78">
        <w:rPr>
          <w:rFonts w:ascii="Times New Roman" w:hAnsi="Times New Roman"/>
          <w:color w:val="404040"/>
          <w:sz w:val="24"/>
          <w:szCs w:val="24"/>
        </w:rPr>
        <w:t xml:space="preserve"> к </w:t>
      </w:r>
      <w:r w:rsidRPr="00050501">
        <w:rPr>
          <w:rFonts w:ascii="Times New Roman" w:hAnsi="Times New Roman"/>
          <w:i/>
          <w:color w:val="404040"/>
          <w:sz w:val="24"/>
          <w:szCs w:val="24"/>
        </w:rPr>
        <w:t>рублю</w:t>
      </w:r>
      <w:r w:rsidR="000A6382">
        <w:rPr>
          <w:rFonts w:ascii="Times New Roman" w:hAnsi="Times New Roman"/>
          <w:color w:val="404040"/>
          <w:sz w:val="24"/>
          <w:szCs w:val="24"/>
        </w:rPr>
        <w:t>, а так же результат</w:t>
      </w:r>
      <w:r w:rsidR="002076A3">
        <w:rPr>
          <w:rFonts w:ascii="Times New Roman" w:hAnsi="Times New Roman"/>
          <w:color w:val="404040"/>
          <w:sz w:val="24"/>
          <w:szCs w:val="24"/>
        </w:rPr>
        <w:t>ы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9C2E82">
        <w:rPr>
          <w:rFonts w:ascii="Times New Roman" w:hAnsi="Times New Roman"/>
          <w:color w:val="404040"/>
          <w:sz w:val="24"/>
          <w:szCs w:val="24"/>
        </w:rPr>
        <w:t>сопоставления соответствующих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 xml:space="preserve">индексов </w:t>
      </w:r>
      <w:r w:rsidRPr="000A12E9">
        <w:rPr>
          <w:rFonts w:ascii="Times New Roman" w:hAnsi="Times New Roman"/>
          <w:i/>
          <w:color w:val="404040"/>
          <w:sz w:val="24"/>
          <w:szCs w:val="24"/>
        </w:rPr>
        <w:t>стоимости СМР</w:t>
      </w:r>
      <w:r>
        <w:rPr>
          <w:rFonts w:ascii="Times New Roman" w:hAnsi="Times New Roman"/>
          <w:i/>
          <w:color w:val="404040"/>
          <w:sz w:val="24"/>
          <w:szCs w:val="24"/>
        </w:rPr>
        <w:t xml:space="preserve"> и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404040"/>
          <w:sz w:val="24"/>
          <w:szCs w:val="24"/>
        </w:rPr>
        <w:t xml:space="preserve">индексов </w:t>
      </w:r>
      <w:r w:rsidRPr="00587769">
        <w:rPr>
          <w:rFonts w:ascii="Times New Roman" w:hAnsi="Times New Roman"/>
          <w:i/>
          <w:color w:val="404040"/>
          <w:sz w:val="24"/>
          <w:szCs w:val="24"/>
        </w:rPr>
        <w:t>потребительских цен и услуг</w:t>
      </w:r>
      <w:r w:rsidR="006E338F">
        <w:rPr>
          <w:rFonts w:ascii="Times New Roman" w:hAnsi="Times New Roman"/>
          <w:color w:val="404040"/>
          <w:sz w:val="24"/>
          <w:szCs w:val="24"/>
        </w:rPr>
        <w:t xml:space="preserve">, как </w:t>
      </w:r>
      <w:r w:rsidR="000705F3" w:rsidRPr="00500E6C">
        <w:rPr>
          <w:rFonts w:ascii="Times New Roman" w:hAnsi="Times New Roman"/>
          <w:color w:val="404040"/>
          <w:sz w:val="24"/>
          <w:szCs w:val="24"/>
        </w:rPr>
        <w:t>отношение</w:t>
      </w:r>
      <w:r w:rsidR="006E338F" w:rsidRPr="00500E6C">
        <w:rPr>
          <w:rFonts w:ascii="Times New Roman" w:hAnsi="Times New Roman"/>
          <w:color w:val="404040"/>
          <w:sz w:val="24"/>
          <w:szCs w:val="24"/>
        </w:rPr>
        <w:t xml:space="preserve"> этих</w:t>
      </w:r>
      <w:r w:rsidR="000705F3" w:rsidRPr="00500E6C">
        <w:rPr>
          <w:rFonts w:ascii="Times New Roman" w:hAnsi="Times New Roman"/>
          <w:color w:val="404040"/>
          <w:sz w:val="24"/>
          <w:szCs w:val="24"/>
        </w:rPr>
        <w:t xml:space="preserve"> индексов в </w:t>
      </w:r>
      <w:r w:rsidR="000705F3" w:rsidRPr="00500E6C">
        <w:rPr>
          <w:rFonts w:ascii="Times New Roman" w:hAnsi="Times New Roman"/>
          <w:color w:val="404040"/>
          <w:sz w:val="24"/>
          <w:szCs w:val="24"/>
        </w:rPr>
        <w:lastRenderedPageBreak/>
        <w:t>Российской Федерации к индексам</w:t>
      </w:r>
      <w:r w:rsidRPr="00500E6C">
        <w:rPr>
          <w:rFonts w:ascii="Times New Roman" w:hAnsi="Times New Roman"/>
          <w:color w:val="404040"/>
          <w:sz w:val="24"/>
          <w:szCs w:val="24"/>
        </w:rPr>
        <w:t xml:space="preserve"> в Украине</w:t>
      </w:r>
      <w:r w:rsidR="002076A3">
        <w:rPr>
          <w:rFonts w:ascii="Times New Roman" w:hAnsi="Times New Roman"/>
          <w:color w:val="404040"/>
          <w:sz w:val="24"/>
          <w:szCs w:val="24"/>
        </w:rPr>
        <w:t>. П</w:t>
      </w:r>
      <w:r w:rsidR="005D6C12">
        <w:rPr>
          <w:rFonts w:ascii="Times New Roman" w:hAnsi="Times New Roman"/>
          <w:color w:val="404040"/>
          <w:sz w:val="24"/>
          <w:szCs w:val="24"/>
        </w:rPr>
        <w:t>ри единой базовой дате сопоставления</w:t>
      </w:r>
      <w:r w:rsidR="00771B23">
        <w:rPr>
          <w:rFonts w:ascii="Times New Roman" w:hAnsi="Times New Roman"/>
          <w:color w:val="404040"/>
          <w:sz w:val="24"/>
          <w:szCs w:val="24"/>
        </w:rPr>
        <w:t xml:space="preserve"> (1991 год)</w:t>
      </w:r>
      <w:r w:rsidR="005D6C12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771B23">
        <w:rPr>
          <w:rFonts w:ascii="Times New Roman" w:hAnsi="Times New Roman"/>
          <w:color w:val="404040"/>
          <w:sz w:val="24"/>
          <w:szCs w:val="24"/>
        </w:rPr>
        <w:t>эти отношения даю</w:t>
      </w:r>
      <w:r w:rsidR="00771B23" w:rsidRPr="00771B23">
        <w:rPr>
          <w:rFonts w:ascii="Times New Roman" w:hAnsi="Times New Roman"/>
          <w:color w:val="404040"/>
          <w:sz w:val="24"/>
          <w:szCs w:val="24"/>
        </w:rPr>
        <w:t xml:space="preserve">т возможность оценить </w:t>
      </w:r>
      <w:r w:rsidR="00771B23" w:rsidRPr="00A72D9B">
        <w:rPr>
          <w:rFonts w:ascii="Times New Roman" w:hAnsi="Times New Roman"/>
          <w:i/>
          <w:color w:val="404040"/>
          <w:sz w:val="24"/>
          <w:szCs w:val="24"/>
        </w:rPr>
        <w:t>паритет валют</w:t>
      </w:r>
      <w:r w:rsidR="00771B23" w:rsidRPr="00771B23">
        <w:rPr>
          <w:rFonts w:ascii="Times New Roman" w:hAnsi="Times New Roman"/>
          <w:color w:val="404040"/>
          <w:sz w:val="24"/>
          <w:szCs w:val="24"/>
        </w:rPr>
        <w:t xml:space="preserve"> на текущую дату в соответствующих сферах</w:t>
      </w:r>
      <w:r w:rsidR="00500E6C">
        <w:rPr>
          <w:rFonts w:ascii="Times New Roman" w:hAnsi="Times New Roman"/>
          <w:color w:val="404040"/>
          <w:sz w:val="24"/>
          <w:szCs w:val="24"/>
        </w:rPr>
        <w:t xml:space="preserve"> деятельности</w:t>
      </w:r>
      <w:r w:rsidR="001E1C7E">
        <w:rPr>
          <w:rFonts w:ascii="Times New Roman" w:hAnsi="Times New Roman"/>
          <w:color w:val="404040"/>
          <w:sz w:val="24"/>
          <w:szCs w:val="24"/>
        </w:rPr>
        <w:t>, что</w:t>
      </w:r>
      <w:r w:rsidR="008B49B8">
        <w:rPr>
          <w:rFonts w:ascii="Times New Roman" w:hAnsi="Times New Roman"/>
          <w:color w:val="404040"/>
          <w:sz w:val="24"/>
          <w:szCs w:val="24"/>
        </w:rPr>
        <w:t xml:space="preserve"> выражается следующей формулой:</w:t>
      </w:r>
    </w:p>
    <w:p w:rsidR="00034E9D" w:rsidRDefault="00034E9D" w:rsidP="00034E9D">
      <w:pPr>
        <w:tabs>
          <w:tab w:val="left" w:pos="6910"/>
        </w:tabs>
        <w:spacing w:after="0" w:line="240" w:lineRule="auto"/>
        <w:ind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</w:t>
      </w:r>
      <w:r>
        <w:rPr>
          <w:rFonts w:ascii="Cambria" w:hAnsi="Cambria"/>
          <w:sz w:val="20"/>
          <w:szCs w:val="20"/>
          <w:vertAlign w:val="subscript"/>
          <w:lang w:val="en-US"/>
        </w:rPr>
        <w:t>i</w:t>
      </w:r>
      <w:r>
        <w:rPr>
          <w:rFonts w:ascii="Cambria" w:hAnsi="Cambria"/>
          <w:sz w:val="20"/>
          <w:szCs w:val="20"/>
          <w:vertAlign w:val="superscript"/>
        </w:rPr>
        <w:t>РФ/У</w:t>
      </w:r>
      <w:r>
        <w:rPr>
          <w:rFonts w:ascii="Cambria" w:hAnsi="Cambria"/>
          <w:sz w:val="20"/>
          <w:szCs w:val="20"/>
        </w:rPr>
        <w:t xml:space="preserve"> =</w:t>
      </w:r>
      <w:r w:rsidRPr="006A373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И</w:t>
      </w:r>
      <w:r>
        <w:rPr>
          <w:rFonts w:ascii="Cambria" w:hAnsi="Cambria"/>
          <w:sz w:val="20"/>
          <w:szCs w:val="20"/>
          <w:vertAlign w:val="subscript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vertAlign w:val="superscript"/>
        </w:rPr>
        <w:t>СМР РФ</w:t>
      </w:r>
      <w:r>
        <w:rPr>
          <w:rFonts w:ascii="Cambria" w:hAnsi="Cambria"/>
          <w:sz w:val="20"/>
          <w:szCs w:val="20"/>
        </w:rPr>
        <w:t>/</w:t>
      </w:r>
      <w:r w:rsidRPr="006A373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И</w:t>
      </w:r>
      <w:r>
        <w:rPr>
          <w:rFonts w:ascii="Cambria" w:hAnsi="Cambria"/>
          <w:sz w:val="20"/>
          <w:szCs w:val="20"/>
          <w:vertAlign w:val="subscript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vertAlign w:val="superscript"/>
        </w:rPr>
        <w:t>СМР У</w:t>
      </w:r>
      <w:r>
        <w:rPr>
          <w:rFonts w:ascii="Cambria" w:hAnsi="Cambria"/>
          <w:sz w:val="20"/>
          <w:szCs w:val="20"/>
        </w:rPr>
        <w:t xml:space="preserve"> =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С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РФ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1991</m:t>
                </m:r>
                <w:proofErr w:type="gramStart"/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1991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У</m:t>
                </m:r>
              </m:sup>
            </m:sSup>
          </m:den>
        </m:f>
      </m:oMath>
      <w:r w:rsidRPr="00034E9D">
        <w:rPr>
          <w:rFonts w:ascii="Cambria" w:eastAsia="Times New Roman" w:hAnsi="Cambria"/>
          <w:sz w:val="20"/>
          <w:szCs w:val="20"/>
        </w:rPr>
        <w:t xml:space="preserve"> = </w:t>
      </w:r>
      <w:proofErr w:type="spellStart"/>
      <w:r>
        <w:rPr>
          <w:rFonts w:ascii="Cambria" w:hAnsi="Cambria"/>
          <w:sz w:val="20"/>
          <w:szCs w:val="20"/>
        </w:rPr>
        <w:t>С</w:t>
      </w:r>
      <w:r w:rsidRPr="006A3732">
        <w:rPr>
          <w:rFonts w:ascii="Cambria" w:hAnsi="Cambria"/>
          <w:sz w:val="20"/>
          <w:szCs w:val="20"/>
          <w:vertAlign w:val="subscript"/>
        </w:rPr>
        <w:t>i</w:t>
      </w:r>
      <w:r w:rsidRPr="006A3732">
        <w:rPr>
          <w:rFonts w:ascii="Cambria" w:hAnsi="Cambria"/>
          <w:sz w:val="20"/>
          <w:szCs w:val="20"/>
          <w:vertAlign w:val="superscript"/>
        </w:rPr>
        <w:t>РФ</w:t>
      </w:r>
      <w:proofErr w:type="spellEnd"/>
      <w:r>
        <w:rPr>
          <w:rFonts w:ascii="Cambria" w:hAnsi="Cambria"/>
          <w:sz w:val="20"/>
          <w:szCs w:val="20"/>
        </w:rPr>
        <w:t>/</w:t>
      </w:r>
      <w:r w:rsidRPr="006A3732"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С</w:t>
      </w:r>
      <w:r w:rsidRPr="006A3732">
        <w:rPr>
          <w:rFonts w:ascii="Cambria" w:hAnsi="Cambria"/>
          <w:sz w:val="20"/>
          <w:szCs w:val="20"/>
          <w:vertAlign w:val="subscript"/>
        </w:rPr>
        <w:t>i</w:t>
      </w:r>
      <w:r>
        <w:rPr>
          <w:rFonts w:ascii="Cambria" w:hAnsi="Cambria"/>
          <w:sz w:val="20"/>
          <w:szCs w:val="20"/>
          <w:vertAlign w:val="superscript"/>
        </w:rPr>
        <w:t>У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1E1C7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(руб./грн.).  </w:t>
      </w:r>
    </w:p>
    <w:p w:rsidR="00034E9D" w:rsidRDefault="00034E9D" w:rsidP="007F573E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D4139C" w:rsidRPr="009C2E82" w:rsidRDefault="00D4139C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D4139C" w:rsidRDefault="0075794A" w:rsidP="009C2E82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6060CC3A">
            <wp:extent cx="5584190" cy="2468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2F1" w:rsidRDefault="008822F1" w:rsidP="008822F1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B57F13" w:rsidRDefault="003747FA" w:rsidP="001E5A35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5581650" cy="2476500"/>
            <wp:effectExtent l="0" t="0" r="0" b="0"/>
            <wp:docPr id="4" name="Рисунок 4" descr="ВСЕ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-3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13" w:rsidRDefault="00B57F13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876ABB" w:rsidRPr="001E5A35" w:rsidRDefault="00876ABB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9E17BC" w:rsidRDefault="001E5A35" w:rsidP="000705F3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5E7697">
        <w:rPr>
          <w:rFonts w:ascii="Times New Roman" w:hAnsi="Times New Roman"/>
          <w:color w:val="404040"/>
          <w:sz w:val="24"/>
          <w:szCs w:val="24"/>
        </w:rPr>
        <w:t>Н</w:t>
      </w:r>
      <w:r w:rsidR="004E63F1" w:rsidRPr="005E7697">
        <w:rPr>
          <w:rFonts w:ascii="Times New Roman" w:hAnsi="Times New Roman"/>
          <w:color w:val="404040"/>
          <w:sz w:val="24"/>
          <w:szCs w:val="24"/>
        </w:rPr>
        <w:t xml:space="preserve">а </w:t>
      </w:r>
      <w:r w:rsidR="002076A3">
        <w:rPr>
          <w:rFonts w:ascii="Times New Roman" w:hAnsi="Times New Roman"/>
          <w:color w:val="404040"/>
          <w:sz w:val="24"/>
          <w:szCs w:val="24"/>
        </w:rPr>
        <w:t>последнем</w:t>
      </w:r>
      <w:r w:rsidR="004E63F1" w:rsidRPr="005E7697">
        <w:rPr>
          <w:rFonts w:ascii="Times New Roman" w:hAnsi="Times New Roman"/>
          <w:color w:val="404040"/>
          <w:sz w:val="24"/>
          <w:szCs w:val="24"/>
        </w:rPr>
        <w:t xml:space="preserve"> графике</w:t>
      </w:r>
      <w:r w:rsidR="005E7697" w:rsidRPr="005E7697">
        <w:rPr>
          <w:rFonts w:ascii="Times New Roman" w:hAnsi="Times New Roman"/>
          <w:color w:val="404040"/>
          <w:sz w:val="24"/>
          <w:szCs w:val="24"/>
        </w:rPr>
        <w:t xml:space="preserve"> укрупнённо показана ситуация за </w:t>
      </w:r>
      <w:r w:rsidR="004E63F1" w:rsidRPr="005E7697">
        <w:rPr>
          <w:rFonts w:ascii="Times New Roman" w:hAnsi="Times New Roman"/>
          <w:color w:val="404040"/>
          <w:sz w:val="24"/>
          <w:szCs w:val="24"/>
        </w:rPr>
        <w:t>пери</w:t>
      </w:r>
      <w:r w:rsidR="00EB7B62" w:rsidRPr="005E7697">
        <w:rPr>
          <w:rFonts w:ascii="Times New Roman" w:hAnsi="Times New Roman"/>
          <w:color w:val="404040"/>
          <w:sz w:val="24"/>
          <w:szCs w:val="24"/>
        </w:rPr>
        <w:t xml:space="preserve">од </w:t>
      </w:r>
      <w:r w:rsidR="00361D0D">
        <w:rPr>
          <w:rFonts w:ascii="Times New Roman" w:hAnsi="Times New Roman"/>
          <w:color w:val="404040"/>
          <w:sz w:val="24"/>
          <w:szCs w:val="24"/>
        </w:rPr>
        <w:t>с 31.12.20013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 г. по </w:t>
      </w:r>
      <w:r w:rsidR="002076A3">
        <w:rPr>
          <w:rFonts w:ascii="Times New Roman" w:hAnsi="Times New Roman"/>
          <w:color w:val="404040"/>
          <w:sz w:val="24"/>
          <w:szCs w:val="24"/>
        </w:rPr>
        <w:t>31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>.</w:t>
      </w:r>
      <w:r w:rsidR="002076A3">
        <w:rPr>
          <w:rFonts w:ascii="Times New Roman" w:hAnsi="Times New Roman"/>
          <w:color w:val="404040"/>
          <w:sz w:val="24"/>
          <w:szCs w:val="24"/>
        </w:rPr>
        <w:t>12.2014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EB7B62" w:rsidRPr="005E7697">
        <w:rPr>
          <w:rFonts w:ascii="Times New Roman" w:hAnsi="Times New Roman"/>
          <w:color w:val="404040"/>
          <w:sz w:val="24"/>
          <w:szCs w:val="24"/>
        </w:rPr>
        <w:t>г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. </w:t>
      </w:r>
      <w:r w:rsidR="005E7697" w:rsidRPr="005E7697">
        <w:rPr>
          <w:rFonts w:ascii="Times New Roman" w:hAnsi="Times New Roman"/>
          <w:color w:val="404040"/>
          <w:sz w:val="24"/>
          <w:szCs w:val="24"/>
        </w:rPr>
        <w:t>В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ертикальными линиями </w:t>
      </w:r>
      <w:r w:rsidR="00215572" w:rsidRPr="005E7697">
        <w:rPr>
          <w:rFonts w:ascii="Cambria Math" w:hAnsi="Cambria Math" w:cs="Cambria Math"/>
          <w:color w:val="404040"/>
          <w:sz w:val="24"/>
          <w:szCs w:val="24"/>
        </w:rPr>
        <w:t>①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 и </w:t>
      </w:r>
      <w:r w:rsidR="00215572" w:rsidRPr="005E7697">
        <w:rPr>
          <w:rFonts w:cs="Calibri"/>
          <w:color w:val="404040"/>
          <w:sz w:val="24"/>
          <w:szCs w:val="24"/>
        </w:rPr>
        <w:t>②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 обозначены даты</w:t>
      </w:r>
      <w:r w:rsidR="00361D0D">
        <w:rPr>
          <w:rFonts w:ascii="Times New Roman" w:hAnsi="Times New Roman"/>
          <w:color w:val="404040"/>
          <w:sz w:val="24"/>
          <w:szCs w:val="24"/>
        </w:rPr>
        <w:t>: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B312E6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>бухгалтерской отчётности –</w:t>
      </w:r>
      <w:r w:rsidR="00361D0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>31.12.2013 г.</w:t>
      </w:r>
      <w:r w:rsidR="00361D0D">
        <w:rPr>
          <w:rFonts w:ascii="Times New Roman" w:hAnsi="Times New Roman"/>
          <w:color w:val="404040"/>
          <w:sz w:val="24"/>
          <w:szCs w:val="24"/>
        </w:rPr>
        <w:t xml:space="preserve"> и </w:t>
      </w:r>
      <w:r w:rsidR="004E63F1" w:rsidRPr="005E7697">
        <w:rPr>
          <w:rFonts w:ascii="Times New Roman" w:hAnsi="Times New Roman"/>
          <w:color w:val="404040"/>
          <w:sz w:val="24"/>
          <w:szCs w:val="24"/>
        </w:rPr>
        <w:t xml:space="preserve">рекомендуемая Министерством финансов дата </w:t>
      </w:r>
      <w:r w:rsidR="00EB7B62" w:rsidRPr="005E7697">
        <w:rPr>
          <w:rFonts w:ascii="Times New Roman" w:hAnsi="Times New Roman"/>
          <w:color w:val="404040"/>
          <w:sz w:val="24"/>
          <w:szCs w:val="24"/>
        </w:rPr>
        <w:t xml:space="preserve">пересчёта 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>01.06.2014 г</w:t>
      </w:r>
      <w:r w:rsidR="00361D0D">
        <w:rPr>
          <w:rFonts w:ascii="Times New Roman" w:hAnsi="Times New Roman"/>
          <w:color w:val="404040"/>
          <w:sz w:val="24"/>
          <w:szCs w:val="24"/>
        </w:rPr>
        <w:t>, соответственно</w:t>
      </w:r>
      <w:r w:rsidR="00D37868" w:rsidRPr="005E7697">
        <w:rPr>
          <w:rFonts w:ascii="Times New Roman" w:hAnsi="Times New Roman"/>
          <w:color w:val="404040"/>
          <w:sz w:val="24"/>
          <w:szCs w:val="24"/>
        </w:rPr>
        <w:t>.</w:t>
      </w:r>
      <w:r w:rsidR="00EB7B62" w:rsidRPr="00EB7B62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5764C1">
        <w:rPr>
          <w:rFonts w:ascii="Times New Roman" w:hAnsi="Times New Roman"/>
          <w:color w:val="404040"/>
          <w:sz w:val="24"/>
          <w:szCs w:val="24"/>
        </w:rPr>
        <w:t>Результаты сопоставления значений</w:t>
      </w:r>
      <w:r w:rsidR="00B312E6">
        <w:rPr>
          <w:rFonts w:ascii="Times New Roman" w:hAnsi="Times New Roman"/>
          <w:color w:val="404040"/>
          <w:sz w:val="24"/>
          <w:szCs w:val="24"/>
        </w:rPr>
        <w:t xml:space="preserve"> рассматриваемых</w:t>
      </w:r>
      <w:r w:rsidR="005764C1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B312E6" w:rsidRPr="00B312E6">
        <w:rPr>
          <w:rFonts w:ascii="Times New Roman" w:hAnsi="Times New Roman"/>
          <w:i/>
          <w:color w:val="404040"/>
          <w:sz w:val="24"/>
          <w:szCs w:val="24"/>
        </w:rPr>
        <w:t>индикаторов</w:t>
      </w:r>
      <w:r w:rsidR="00B312E6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5764C1">
        <w:rPr>
          <w:rFonts w:ascii="Times New Roman" w:hAnsi="Times New Roman"/>
          <w:color w:val="404040"/>
          <w:sz w:val="24"/>
          <w:szCs w:val="24"/>
        </w:rPr>
        <w:t>представлены в следующей таблице.</w:t>
      </w:r>
    </w:p>
    <w:p w:rsidR="00067ABE" w:rsidRPr="009C3289" w:rsidRDefault="00067ABE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410"/>
        <w:gridCol w:w="1984"/>
        <w:gridCol w:w="1804"/>
      </w:tblGrid>
      <w:tr w:rsidR="00C71886" w:rsidRPr="00313A4A" w:rsidTr="006F0A3A">
        <w:trPr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71886" w:rsidRPr="00313A4A" w:rsidRDefault="00C71886" w:rsidP="00B312E6">
            <w:pPr>
              <w:spacing w:after="0" w:line="240" w:lineRule="exact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Дата</w:t>
            </w:r>
            <w:r w:rsidR="00B312E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или параметр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1886" w:rsidRPr="00313A4A" w:rsidRDefault="00C71886" w:rsidP="00B312E6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 индексу потребительских цен,  </w:t>
            </w:r>
            <w:r w:rsidR="00040F77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[руб./грн.]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886" w:rsidRPr="00313A4A" w:rsidRDefault="00C71886" w:rsidP="00B312E6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 курсу </w:t>
            </w:r>
            <w:proofErr w:type="spellStart"/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гривни</w:t>
            </w:r>
            <w:proofErr w:type="spellEnd"/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,  [руб./грн.]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71886" w:rsidRPr="00313A4A" w:rsidRDefault="00C71886" w:rsidP="00B312E6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 индексу стоимости СМР,  </w:t>
            </w:r>
            <w:r w:rsidR="00040F77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[руб./грн.]</w:t>
            </w:r>
          </w:p>
        </w:tc>
      </w:tr>
      <w:tr w:rsidR="00313A4A" w:rsidRPr="00313A4A" w:rsidTr="00C40360">
        <w:trPr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313A4A" w:rsidRPr="00313A4A" w:rsidRDefault="00313A4A" w:rsidP="00313A4A">
            <w:pPr>
              <w:spacing w:after="0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31.12.2013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7,495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3,97199</w:t>
            </w:r>
          </w:p>
        </w:tc>
        <w:tc>
          <w:tcPr>
            <w:tcW w:w="180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2,652</w:t>
            </w:r>
          </w:p>
        </w:tc>
      </w:tr>
      <w:tr w:rsidR="00313A4A" w:rsidRPr="00313A4A" w:rsidTr="00C40360">
        <w:trPr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313A4A" w:rsidRPr="00313A4A" w:rsidRDefault="00313A4A" w:rsidP="00313A4A">
            <w:pPr>
              <w:spacing w:after="0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01.06.2014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7,069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2,94366</w:t>
            </w:r>
          </w:p>
        </w:tc>
        <w:tc>
          <w:tcPr>
            <w:tcW w:w="180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2,542</w:t>
            </w:r>
          </w:p>
        </w:tc>
      </w:tr>
      <w:tr w:rsidR="00313A4A" w:rsidRPr="00313A4A" w:rsidTr="00C40360">
        <w:trPr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313A4A" w:rsidRPr="00313A4A" w:rsidRDefault="00313A4A" w:rsidP="00313A4A">
            <w:pPr>
              <w:spacing w:after="0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Максимальная разница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804" w:type="dxa"/>
            <w:shd w:val="clear" w:color="auto" w:fill="auto"/>
            <w:vAlign w:val="bottom"/>
          </w:tcPr>
          <w:p w:rsidR="00313A4A" w:rsidRPr="00313A4A" w:rsidRDefault="00313A4A" w:rsidP="00313A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0E7895" w:rsidRPr="00313A4A" w:rsidTr="000E7895">
        <w:trPr>
          <w:trHeight w:val="56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0E7895" w:rsidRPr="00313A4A" w:rsidRDefault="000E7895" w:rsidP="00B312E6">
            <w:pPr>
              <w:spacing w:after="0" w:line="220" w:lineRule="exact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Коэффициент вариации </w:t>
            </w:r>
          </w:p>
          <w:p w:rsidR="000E7895" w:rsidRPr="00313A4A" w:rsidRDefault="000E7895" w:rsidP="00B312E6">
            <w:pPr>
              <w:spacing w:after="0" w:line="220" w:lineRule="exact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 период </w:t>
            </w:r>
          </w:p>
          <w:p w:rsidR="000E7895" w:rsidRPr="00313A4A" w:rsidRDefault="00B312E6" w:rsidP="00B312E6">
            <w:pPr>
              <w:spacing w:after="0" w:line="220" w:lineRule="exact"/>
              <w:ind w:left="-107" w:right="-108" w:hanging="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31.12.2013 </w:t>
            </w:r>
            <w:r w:rsidR="000E7895">
              <w:rPr>
                <w:rFonts w:ascii="Times New Roman" w:hAnsi="Times New Roman"/>
                <w:color w:val="40404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0E7895">
              <w:rPr>
                <w:rFonts w:ascii="Times New Roman" w:hAnsi="Times New Roman"/>
                <w:color w:val="404040"/>
                <w:sz w:val="24"/>
                <w:szCs w:val="24"/>
              </w:rPr>
              <w:t>01</w:t>
            </w:r>
            <w:r w:rsidR="000E7895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0E7895"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="000E7895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.2014 </w:t>
            </w:r>
            <w:proofErr w:type="spellStart"/>
            <w:r w:rsidR="000E7895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г.</w:t>
            </w:r>
            <w:proofErr w:type="gramStart"/>
            <w:r w:rsidR="000E7895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spellEnd"/>
            <w:proofErr w:type="gramEnd"/>
            <w:r w:rsidR="000E7895" w:rsidRPr="00313A4A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895" w:rsidRPr="000E7895" w:rsidRDefault="000E7895" w:rsidP="00B312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95">
              <w:rPr>
                <w:rFonts w:ascii="Times New Roman" w:hAnsi="Times New Roman"/>
                <w:sz w:val="24"/>
                <w:szCs w:val="24"/>
              </w:rPr>
              <w:t>4,21%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7895" w:rsidRPr="000E7895" w:rsidRDefault="000E7895" w:rsidP="00B312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95">
              <w:rPr>
                <w:rFonts w:ascii="Times New Roman" w:hAnsi="Times New Roman"/>
                <w:sz w:val="24"/>
                <w:szCs w:val="24"/>
              </w:rPr>
              <w:t>13,64%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E7895" w:rsidRPr="000E7895" w:rsidRDefault="000E7895" w:rsidP="00B312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95">
              <w:rPr>
                <w:rFonts w:ascii="Times New Roman" w:hAnsi="Times New Roman"/>
                <w:sz w:val="24"/>
                <w:szCs w:val="24"/>
              </w:rPr>
              <w:t>2,81%</w:t>
            </w:r>
          </w:p>
        </w:tc>
      </w:tr>
    </w:tbl>
    <w:p w:rsidR="00067ABE" w:rsidRPr="00FC1845" w:rsidRDefault="00067ABE" w:rsidP="00215572">
      <w:pPr>
        <w:spacing w:after="0"/>
        <w:ind w:firstLine="284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AA694D" w:rsidRDefault="00AA694D" w:rsidP="00855C4A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Наилучшие статистические характеристики наблюдаются у </w:t>
      </w:r>
      <w:r w:rsidRPr="00AA694D">
        <w:rPr>
          <w:rFonts w:ascii="Times New Roman" w:hAnsi="Times New Roman"/>
          <w:color w:val="404040"/>
          <w:sz w:val="24"/>
          <w:szCs w:val="24"/>
        </w:rPr>
        <w:t xml:space="preserve">значений </w:t>
      </w:r>
      <w:r w:rsidRPr="00AA694D">
        <w:rPr>
          <w:rFonts w:ascii="Times New Roman" w:hAnsi="Times New Roman"/>
          <w:i/>
          <w:color w:val="404040"/>
          <w:sz w:val="24"/>
          <w:szCs w:val="24"/>
        </w:rPr>
        <w:t>индексов стоимости СМР</w:t>
      </w:r>
      <w:r w:rsidRPr="00AA694D">
        <w:rPr>
          <w:rFonts w:ascii="Times New Roman" w:hAnsi="Times New Roman"/>
          <w:color w:val="404040"/>
          <w:sz w:val="24"/>
          <w:szCs w:val="24"/>
        </w:rPr>
        <w:t>:</w:t>
      </w:r>
      <w:r>
        <w:rPr>
          <w:rFonts w:ascii="Times New Roman" w:hAnsi="Times New Roman"/>
          <w:color w:val="404040"/>
          <w:sz w:val="24"/>
          <w:szCs w:val="24"/>
        </w:rPr>
        <w:t xml:space="preserve"> при максимальной разнице значений около 4%, коэффицие</w:t>
      </w:r>
      <w:r w:rsidR="000E7895">
        <w:rPr>
          <w:rFonts w:ascii="Times New Roman" w:hAnsi="Times New Roman"/>
          <w:color w:val="404040"/>
          <w:sz w:val="24"/>
          <w:szCs w:val="24"/>
        </w:rPr>
        <w:t xml:space="preserve">нт вариации </w:t>
      </w:r>
      <w:r w:rsidR="000E7895">
        <w:rPr>
          <w:rFonts w:ascii="Times New Roman" w:hAnsi="Times New Roman"/>
          <w:color w:val="404040"/>
          <w:sz w:val="24"/>
          <w:szCs w:val="24"/>
        </w:rPr>
        <w:lastRenderedPageBreak/>
        <w:t>составляет всего 2,81</w:t>
      </w:r>
      <w:r>
        <w:rPr>
          <w:rFonts w:ascii="Times New Roman" w:hAnsi="Times New Roman"/>
          <w:color w:val="404040"/>
          <w:sz w:val="24"/>
          <w:szCs w:val="24"/>
        </w:rPr>
        <w:t>%.</w:t>
      </w:r>
      <w:r w:rsidR="004C759E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Значительно худшие </w:t>
      </w:r>
      <w:r w:rsidRPr="00AA694D">
        <w:rPr>
          <w:rFonts w:ascii="Times New Roman" w:hAnsi="Times New Roman"/>
          <w:color w:val="404040"/>
          <w:sz w:val="24"/>
          <w:szCs w:val="24"/>
        </w:rPr>
        <w:t xml:space="preserve">статистические характеристики наблюдаются у значений </w:t>
      </w:r>
      <w:r w:rsidRPr="00AA694D">
        <w:rPr>
          <w:rFonts w:ascii="Times New Roman" w:hAnsi="Times New Roman"/>
          <w:i/>
          <w:color w:val="404040"/>
          <w:sz w:val="24"/>
          <w:szCs w:val="24"/>
        </w:rPr>
        <w:t xml:space="preserve">курса </w:t>
      </w:r>
      <w:proofErr w:type="spellStart"/>
      <w:r w:rsidRPr="00AA694D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 w:rsidRPr="00AA694D">
        <w:rPr>
          <w:rFonts w:ascii="Times New Roman" w:hAnsi="Times New Roman"/>
          <w:color w:val="404040"/>
          <w:sz w:val="24"/>
          <w:szCs w:val="24"/>
        </w:rPr>
        <w:t>: при макси</w:t>
      </w:r>
      <w:r>
        <w:rPr>
          <w:rFonts w:ascii="Times New Roman" w:hAnsi="Times New Roman"/>
          <w:color w:val="404040"/>
          <w:sz w:val="24"/>
          <w:szCs w:val="24"/>
        </w:rPr>
        <w:t>мальной разнице значений около 35%, коэффициент вариации</w:t>
      </w:r>
      <w:r w:rsidRPr="00AA694D">
        <w:rPr>
          <w:rFonts w:ascii="Times New Roman" w:hAnsi="Times New Roman"/>
          <w:color w:val="404040"/>
          <w:sz w:val="24"/>
          <w:szCs w:val="24"/>
        </w:rPr>
        <w:t xml:space="preserve"> составляет </w:t>
      </w:r>
      <w:r>
        <w:rPr>
          <w:rFonts w:ascii="Times New Roman" w:hAnsi="Times New Roman"/>
          <w:color w:val="404040"/>
          <w:sz w:val="24"/>
          <w:szCs w:val="24"/>
        </w:rPr>
        <w:t>уже</w:t>
      </w:r>
      <w:r w:rsidRPr="00AA694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E7895">
        <w:rPr>
          <w:rFonts w:ascii="Times New Roman" w:hAnsi="Times New Roman"/>
          <w:color w:val="404040"/>
          <w:sz w:val="24"/>
          <w:szCs w:val="24"/>
        </w:rPr>
        <w:t>13,64</w:t>
      </w:r>
      <w:r w:rsidRPr="00AA694D">
        <w:rPr>
          <w:rFonts w:ascii="Times New Roman" w:hAnsi="Times New Roman"/>
          <w:color w:val="404040"/>
          <w:sz w:val="24"/>
          <w:szCs w:val="24"/>
        </w:rPr>
        <w:t>%.</w:t>
      </w:r>
    </w:p>
    <w:p w:rsidR="00B82BE1" w:rsidRDefault="00781F76" w:rsidP="00B82BE1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И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з рассмотренных нами трёх финансовых индикаторов, наиболее "стабильным и устойчивым" </w:t>
      </w:r>
      <w:r w:rsidR="002076A3">
        <w:rPr>
          <w:rFonts w:ascii="Times New Roman" w:hAnsi="Times New Roman"/>
          <w:color w:val="404040"/>
          <w:sz w:val="24"/>
          <w:szCs w:val="24"/>
        </w:rPr>
        <w:t>можно считать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 индикатор, сформированный как отношение </w:t>
      </w:r>
      <w:r w:rsidR="00E22804">
        <w:rPr>
          <w:rFonts w:ascii="Times New Roman" w:hAnsi="Times New Roman"/>
          <w:i/>
          <w:color w:val="404040"/>
          <w:sz w:val="24"/>
          <w:szCs w:val="24"/>
        </w:rPr>
        <w:t>индексов</w:t>
      </w:r>
      <w:r w:rsidR="00E22804" w:rsidRPr="00587769">
        <w:rPr>
          <w:rFonts w:ascii="Times New Roman" w:hAnsi="Times New Roman"/>
          <w:i/>
          <w:color w:val="404040"/>
          <w:sz w:val="24"/>
          <w:szCs w:val="24"/>
        </w:rPr>
        <w:t xml:space="preserve"> </w:t>
      </w:r>
      <w:r w:rsidR="00E22804" w:rsidRPr="000A12E9">
        <w:rPr>
          <w:rFonts w:ascii="Times New Roman" w:hAnsi="Times New Roman"/>
          <w:i/>
          <w:color w:val="404040"/>
          <w:sz w:val="24"/>
          <w:szCs w:val="24"/>
        </w:rPr>
        <w:t>стоимости СМР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, вторым по </w:t>
      </w:r>
      <w:r w:rsidR="00050501">
        <w:rPr>
          <w:rFonts w:ascii="Times New Roman" w:hAnsi="Times New Roman"/>
          <w:color w:val="404040"/>
          <w:sz w:val="24"/>
          <w:szCs w:val="24"/>
        </w:rPr>
        <w:t>"</w:t>
      </w:r>
      <w:r w:rsidR="00E22804">
        <w:rPr>
          <w:rFonts w:ascii="Times New Roman" w:hAnsi="Times New Roman"/>
          <w:color w:val="404040"/>
          <w:sz w:val="24"/>
          <w:szCs w:val="24"/>
        </w:rPr>
        <w:t>стабильности</w:t>
      </w:r>
      <w:r w:rsidR="00050501">
        <w:rPr>
          <w:rFonts w:ascii="Times New Roman" w:hAnsi="Times New Roman"/>
          <w:color w:val="404040"/>
          <w:sz w:val="24"/>
          <w:szCs w:val="24"/>
        </w:rPr>
        <w:t>"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 следует отметить</w:t>
      </w:r>
      <w:r w:rsidR="00E22804" w:rsidRPr="00E22804">
        <w:t xml:space="preserve"> </w:t>
      </w:r>
      <w:r w:rsidR="00E22804" w:rsidRPr="00E22804">
        <w:rPr>
          <w:rFonts w:ascii="Times New Roman" w:hAnsi="Times New Roman"/>
          <w:color w:val="404040"/>
          <w:sz w:val="24"/>
          <w:szCs w:val="24"/>
        </w:rPr>
        <w:t>индикатор, сформированный как отношение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  </w:t>
      </w:r>
      <w:r w:rsidR="00E22804">
        <w:rPr>
          <w:rFonts w:ascii="Times New Roman" w:hAnsi="Times New Roman"/>
          <w:i/>
          <w:color w:val="404040"/>
          <w:sz w:val="24"/>
          <w:szCs w:val="24"/>
        </w:rPr>
        <w:t>индекс</w:t>
      </w:r>
      <w:r w:rsidR="00050501">
        <w:rPr>
          <w:rFonts w:ascii="Times New Roman" w:hAnsi="Times New Roman"/>
          <w:i/>
          <w:color w:val="404040"/>
          <w:sz w:val="24"/>
          <w:szCs w:val="24"/>
        </w:rPr>
        <w:t>ов</w:t>
      </w:r>
      <w:r w:rsidR="00E22804">
        <w:rPr>
          <w:rFonts w:ascii="Times New Roman" w:hAnsi="Times New Roman"/>
          <w:i/>
          <w:color w:val="404040"/>
          <w:sz w:val="24"/>
          <w:szCs w:val="24"/>
        </w:rPr>
        <w:t xml:space="preserve"> </w:t>
      </w:r>
      <w:r w:rsidR="00E22804" w:rsidRPr="00587769">
        <w:rPr>
          <w:rFonts w:ascii="Times New Roman" w:hAnsi="Times New Roman"/>
          <w:i/>
          <w:color w:val="404040"/>
          <w:sz w:val="24"/>
          <w:szCs w:val="24"/>
        </w:rPr>
        <w:t>потребительских цен и услуг</w:t>
      </w:r>
      <w:r w:rsidR="00E22804">
        <w:rPr>
          <w:rFonts w:ascii="Times New Roman" w:hAnsi="Times New Roman"/>
          <w:color w:val="404040"/>
          <w:sz w:val="24"/>
          <w:szCs w:val="24"/>
        </w:rPr>
        <w:t xml:space="preserve">, а самым "сложным" явился официальный </w:t>
      </w:r>
      <w:r w:rsidR="00E22804" w:rsidRPr="00E22804">
        <w:rPr>
          <w:rFonts w:ascii="Times New Roman" w:hAnsi="Times New Roman"/>
          <w:i/>
          <w:color w:val="404040"/>
          <w:sz w:val="24"/>
          <w:szCs w:val="24"/>
        </w:rPr>
        <w:t xml:space="preserve">курс </w:t>
      </w:r>
      <w:proofErr w:type="spellStart"/>
      <w:r w:rsidR="00E22804" w:rsidRPr="00E22804">
        <w:rPr>
          <w:rFonts w:ascii="Times New Roman" w:hAnsi="Times New Roman"/>
          <w:i/>
          <w:color w:val="404040"/>
          <w:sz w:val="24"/>
          <w:szCs w:val="24"/>
        </w:rPr>
        <w:t>гривни</w:t>
      </w:r>
      <w:proofErr w:type="spellEnd"/>
      <w:r w:rsidR="00E22804" w:rsidRPr="00E22804">
        <w:rPr>
          <w:rFonts w:ascii="Times New Roman" w:hAnsi="Times New Roman"/>
          <w:i/>
          <w:color w:val="404040"/>
          <w:sz w:val="24"/>
          <w:szCs w:val="24"/>
        </w:rPr>
        <w:t xml:space="preserve"> </w:t>
      </w:r>
      <w:r w:rsidR="00E22804" w:rsidRPr="00050501">
        <w:rPr>
          <w:rFonts w:ascii="Times New Roman" w:hAnsi="Times New Roman"/>
          <w:color w:val="404040"/>
          <w:sz w:val="24"/>
          <w:szCs w:val="24"/>
        </w:rPr>
        <w:t xml:space="preserve">к </w:t>
      </w:r>
      <w:r w:rsidR="00E22804" w:rsidRPr="00E22804">
        <w:rPr>
          <w:rFonts w:ascii="Times New Roman" w:hAnsi="Times New Roman"/>
          <w:i/>
          <w:color w:val="404040"/>
          <w:sz w:val="24"/>
          <w:szCs w:val="24"/>
        </w:rPr>
        <w:t>рублю</w:t>
      </w:r>
      <w:r w:rsidR="00E22804">
        <w:rPr>
          <w:rFonts w:ascii="Times New Roman" w:hAnsi="Times New Roman"/>
          <w:color w:val="404040"/>
          <w:sz w:val="24"/>
          <w:szCs w:val="24"/>
        </w:rPr>
        <w:t>.</w:t>
      </w:r>
    </w:p>
    <w:p w:rsidR="00E07862" w:rsidRDefault="00E07862" w:rsidP="00254503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9C3289">
        <w:rPr>
          <w:rFonts w:ascii="Times New Roman" w:hAnsi="Times New Roman"/>
          <w:color w:val="404040"/>
          <w:sz w:val="24"/>
          <w:szCs w:val="24"/>
        </w:rPr>
        <w:t xml:space="preserve">В представленном анализе рассматривалось изменение </w:t>
      </w:r>
      <w:r w:rsidRPr="009C3289">
        <w:rPr>
          <w:rFonts w:ascii="Times New Roman" w:hAnsi="Times New Roman"/>
          <w:i/>
          <w:color w:val="404040"/>
          <w:sz w:val="24"/>
          <w:szCs w:val="24"/>
        </w:rPr>
        <w:t xml:space="preserve">финансовых </w:t>
      </w:r>
      <w:proofErr w:type="gramStart"/>
      <w:r w:rsidRPr="009C3289">
        <w:rPr>
          <w:rFonts w:ascii="Times New Roman" w:hAnsi="Times New Roman"/>
          <w:i/>
          <w:color w:val="404040"/>
          <w:sz w:val="24"/>
          <w:szCs w:val="24"/>
        </w:rPr>
        <w:t>индикаторов</w:t>
      </w:r>
      <w:proofErr w:type="gramEnd"/>
      <w:r w:rsidRPr="009C3289">
        <w:rPr>
          <w:rFonts w:ascii="Times New Roman" w:hAnsi="Times New Roman"/>
          <w:color w:val="404040"/>
          <w:sz w:val="24"/>
          <w:szCs w:val="24"/>
        </w:rPr>
        <w:t xml:space="preserve"> начиная с базового 1991 года. Однако, проведённые в девяностые годы деноминации национальных валют в Российской Федерации и Украине, не могли не сказаться на погрешностях в определении </w:t>
      </w:r>
      <w:r w:rsidR="0011514E">
        <w:rPr>
          <w:rFonts w:ascii="Times New Roman" w:hAnsi="Times New Roman"/>
          <w:color w:val="404040"/>
          <w:sz w:val="24"/>
          <w:szCs w:val="24"/>
        </w:rPr>
        <w:t xml:space="preserve">ряда </w:t>
      </w:r>
      <w:r w:rsidRPr="009C3289">
        <w:rPr>
          <w:rFonts w:ascii="Times New Roman" w:hAnsi="Times New Roman"/>
          <w:color w:val="404040"/>
          <w:sz w:val="24"/>
          <w:szCs w:val="24"/>
        </w:rPr>
        <w:t xml:space="preserve">статистических величин. Очевидно, что чем ближе по времени базовый год к дате сопоставления, тем точнее определяются значения рассматриваемых </w:t>
      </w:r>
      <w:r w:rsidRPr="009C3289">
        <w:rPr>
          <w:rFonts w:ascii="Times New Roman" w:hAnsi="Times New Roman"/>
          <w:i/>
          <w:color w:val="404040"/>
          <w:sz w:val="24"/>
          <w:szCs w:val="24"/>
        </w:rPr>
        <w:t>финансовых индикаторов</w:t>
      </w:r>
      <w:r w:rsidR="009C3289" w:rsidRPr="009C3289">
        <w:rPr>
          <w:rFonts w:ascii="Times New Roman" w:hAnsi="Times New Roman"/>
          <w:i/>
          <w:color w:val="404040"/>
          <w:sz w:val="24"/>
          <w:szCs w:val="24"/>
        </w:rPr>
        <w:t xml:space="preserve"> </w:t>
      </w:r>
      <w:r w:rsidR="009C3289" w:rsidRPr="009C3289">
        <w:rPr>
          <w:rFonts w:ascii="Times New Roman" w:hAnsi="Times New Roman"/>
          <w:color w:val="404040"/>
          <w:sz w:val="24"/>
          <w:szCs w:val="24"/>
        </w:rPr>
        <w:t xml:space="preserve">(конечно при единой </w:t>
      </w:r>
      <w:r w:rsidR="00107DE6">
        <w:rPr>
          <w:rFonts w:ascii="Times New Roman" w:hAnsi="Times New Roman"/>
          <w:color w:val="404040"/>
          <w:sz w:val="24"/>
          <w:szCs w:val="24"/>
        </w:rPr>
        <w:t xml:space="preserve">методической базе определения </w:t>
      </w:r>
      <w:r w:rsidR="009C3289" w:rsidRPr="009C3289">
        <w:rPr>
          <w:rFonts w:ascii="Times New Roman" w:hAnsi="Times New Roman"/>
          <w:color w:val="404040"/>
          <w:sz w:val="24"/>
          <w:szCs w:val="24"/>
        </w:rPr>
        <w:t xml:space="preserve">их </w:t>
      </w:r>
      <w:r w:rsidR="00107DE6">
        <w:rPr>
          <w:rFonts w:ascii="Times New Roman" w:hAnsi="Times New Roman"/>
          <w:color w:val="404040"/>
          <w:sz w:val="24"/>
          <w:szCs w:val="24"/>
        </w:rPr>
        <w:t>параметров</w:t>
      </w:r>
      <w:r w:rsidR="009C3289" w:rsidRPr="009C3289">
        <w:rPr>
          <w:rFonts w:ascii="Times New Roman" w:hAnsi="Times New Roman"/>
          <w:color w:val="404040"/>
          <w:sz w:val="24"/>
          <w:szCs w:val="24"/>
        </w:rPr>
        <w:t>)</w:t>
      </w:r>
      <w:r w:rsidRPr="009C3289">
        <w:rPr>
          <w:rFonts w:ascii="Times New Roman" w:hAnsi="Times New Roman"/>
          <w:color w:val="404040"/>
          <w:sz w:val="24"/>
          <w:szCs w:val="24"/>
        </w:rPr>
        <w:t>.</w:t>
      </w:r>
      <w:r w:rsidR="000C5E9B" w:rsidRPr="009C3289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585F98" w:rsidRDefault="00E07862" w:rsidP="00585F98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 представленных ниже </w:t>
      </w:r>
      <w:r w:rsidR="00585F98">
        <w:rPr>
          <w:rFonts w:ascii="Times New Roman" w:hAnsi="Times New Roman"/>
          <w:color w:val="404040"/>
          <w:sz w:val="24"/>
          <w:szCs w:val="24"/>
        </w:rPr>
        <w:t xml:space="preserve">двух </w:t>
      </w:r>
      <w:r>
        <w:rPr>
          <w:rFonts w:ascii="Times New Roman" w:hAnsi="Times New Roman"/>
          <w:color w:val="404040"/>
          <w:sz w:val="24"/>
          <w:szCs w:val="24"/>
        </w:rPr>
        <w:t xml:space="preserve">графиках показаны рассматриваемые </w:t>
      </w:r>
      <w:r w:rsidRPr="00E07862">
        <w:rPr>
          <w:rFonts w:ascii="Times New Roman" w:hAnsi="Times New Roman"/>
          <w:i/>
          <w:color w:val="404040"/>
          <w:sz w:val="24"/>
          <w:szCs w:val="24"/>
        </w:rPr>
        <w:t>финансовые индикаторы</w:t>
      </w:r>
      <w:r w:rsidR="009C3289">
        <w:rPr>
          <w:rFonts w:ascii="Times New Roman" w:hAnsi="Times New Roman"/>
          <w:color w:val="404040"/>
          <w:sz w:val="24"/>
          <w:szCs w:val="24"/>
        </w:rPr>
        <w:t xml:space="preserve"> для </w:t>
      </w:r>
      <w:proofErr w:type="gramStart"/>
      <w:r w:rsidR="009C3289">
        <w:rPr>
          <w:rFonts w:ascii="Times New Roman" w:hAnsi="Times New Roman"/>
          <w:color w:val="404040"/>
          <w:sz w:val="24"/>
          <w:szCs w:val="24"/>
        </w:rPr>
        <w:t>обо</w:t>
      </w:r>
      <w:r w:rsidR="00585F98">
        <w:rPr>
          <w:rFonts w:ascii="Times New Roman" w:hAnsi="Times New Roman"/>
          <w:color w:val="404040"/>
          <w:sz w:val="24"/>
          <w:szCs w:val="24"/>
        </w:rPr>
        <w:t>их</w:t>
      </w:r>
      <w:proofErr w:type="gramEnd"/>
      <w:r w:rsidR="00585F98">
        <w:rPr>
          <w:rFonts w:ascii="Times New Roman" w:hAnsi="Times New Roman"/>
          <w:color w:val="404040"/>
          <w:sz w:val="24"/>
          <w:szCs w:val="24"/>
        </w:rPr>
        <w:t xml:space="preserve"> стран,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585F98">
        <w:rPr>
          <w:rFonts w:ascii="Times New Roman" w:hAnsi="Times New Roman"/>
          <w:color w:val="404040"/>
          <w:sz w:val="24"/>
          <w:szCs w:val="24"/>
        </w:rPr>
        <w:t>приведённые к единице (норм</w:t>
      </w:r>
      <w:r w:rsidR="0037785B">
        <w:rPr>
          <w:rFonts w:ascii="Times New Roman" w:hAnsi="Times New Roman"/>
          <w:color w:val="404040"/>
          <w:sz w:val="24"/>
          <w:szCs w:val="24"/>
        </w:rPr>
        <w:t>иров</w:t>
      </w:r>
      <w:r w:rsidR="00585F98">
        <w:rPr>
          <w:rFonts w:ascii="Times New Roman" w:hAnsi="Times New Roman"/>
          <w:color w:val="404040"/>
          <w:sz w:val="24"/>
          <w:szCs w:val="24"/>
        </w:rPr>
        <w:t>анные) на</w:t>
      </w:r>
      <w:r w:rsidR="00592457">
        <w:rPr>
          <w:rFonts w:ascii="Times New Roman" w:hAnsi="Times New Roman"/>
          <w:color w:val="404040"/>
          <w:sz w:val="24"/>
          <w:szCs w:val="24"/>
        </w:rPr>
        <w:t xml:space="preserve"> начало 2004 года.</w:t>
      </w:r>
    </w:p>
    <w:p w:rsidR="00585F98" w:rsidRPr="00585F98" w:rsidRDefault="00585F98" w:rsidP="00585F98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EA1C73" w:rsidRDefault="0075794A" w:rsidP="00254503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6D5D8405">
            <wp:extent cx="5584190" cy="24631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457" w:rsidRPr="004C759E" w:rsidRDefault="00592457" w:rsidP="00254503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9C3289" w:rsidRDefault="0075794A" w:rsidP="00254503">
      <w:pPr>
        <w:spacing w:after="0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037E8">
            <wp:extent cx="5578475" cy="24511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289" w:rsidRDefault="009C3289" w:rsidP="00254503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FC1845" w:rsidRDefault="00FC1845" w:rsidP="00FC184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Кстати, представление стоимости</w:t>
      </w:r>
      <w:r w:rsidR="00771B23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в </w:t>
      </w:r>
      <w:r w:rsidRPr="00DC2538">
        <w:rPr>
          <w:rFonts w:ascii="Times New Roman" w:hAnsi="Times New Roman"/>
          <w:i/>
          <w:color w:val="404040"/>
          <w:sz w:val="24"/>
          <w:szCs w:val="24"/>
        </w:rPr>
        <w:t>долларовом</w:t>
      </w:r>
      <w:r>
        <w:rPr>
          <w:rFonts w:ascii="Times New Roman" w:hAnsi="Times New Roman"/>
          <w:color w:val="404040"/>
          <w:sz w:val="24"/>
          <w:szCs w:val="24"/>
        </w:rPr>
        <w:t xml:space="preserve"> выражении</w:t>
      </w:r>
      <w:r w:rsidR="00771B23">
        <w:rPr>
          <w:rFonts w:ascii="Times New Roman" w:hAnsi="Times New Roman"/>
          <w:color w:val="404040"/>
          <w:sz w:val="24"/>
          <w:szCs w:val="24"/>
        </w:rPr>
        <w:t xml:space="preserve"> в разных сферах</w:t>
      </w:r>
      <w:r>
        <w:rPr>
          <w:rFonts w:ascii="Times New Roman" w:hAnsi="Times New Roman"/>
          <w:color w:val="404040"/>
          <w:sz w:val="24"/>
          <w:szCs w:val="24"/>
        </w:rPr>
        <w:t xml:space="preserve"> не будет "панацеей" или неким универсальным способом пересчёта, ибо, по сути, реализуется кросс-курс </w:t>
      </w:r>
      <w:r w:rsidRPr="00C15216">
        <w:rPr>
          <w:rFonts w:ascii="Times New Roman" w:hAnsi="Times New Roman"/>
          <w:i/>
          <w:color w:val="404040"/>
          <w:sz w:val="24"/>
          <w:szCs w:val="24"/>
        </w:rPr>
        <w:t>рубль/</w:t>
      </w:r>
      <w:proofErr w:type="spellStart"/>
      <w:r w:rsidRPr="00C15216">
        <w:rPr>
          <w:rFonts w:ascii="Times New Roman" w:hAnsi="Times New Roman"/>
          <w:i/>
          <w:color w:val="404040"/>
          <w:sz w:val="24"/>
          <w:szCs w:val="24"/>
        </w:rPr>
        <w:t>гривня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>, который и был рассмотрен выше.</w:t>
      </w:r>
      <w:r w:rsidR="0091788F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75794A" w:rsidRDefault="0075794A" w:rsidP="0075794A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A50BCD">
        <w:rPr>
          <w:rFonts w:ascii="Times New Roman" w:hAnsi="Times New Roman"/>
          <w:color w:val="404040"/>
          <w:sz w:val="24"/>
          <w:szCs w:val="24"/>
        </w:rPr>
        <w:t xml:space="preserve">В Российской Федерации </w:t>
      </w:r>
      <w:r>
        <w:rPr>
          <w:rFonts w:ascii="Times New Roman" w:hAnsi="Times New Roman"/>
          <w:color w:val="404040"/>
          <w:sz w:val="24"/>
          <w:szCs w:val="24"/>
        </w:rPr>
        <w:t xml:space="preserve">ранее 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уже </w:t>
      </w:r>
      <w:r>
        <w:rPr>
          <w:rFonts w:ascii="Times New Roman" w:hAnsi="Times New Roman"/>
          <w:color w:val="404040"/>
          <w:sz w:val="24"/>
          <w:szCs w:val="24"/>
        </w:rPr>
        <w:t xml:space="preserve">был 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реализован проект расчёта </w:t>
      </w:r>
      <w:r w:rsidRPr="00A50BCD">
        <w:rPr>
          <w:rFonts w:ascii="Times New Roman" w:hAnsi="Times New Roman"/>
          <w:i/>
          <w:color w:val="404040"/>
          <w:sz w:val="24"/>
          <w:szCs w:val="24"/>
        </w:rPr>
        <w:t>паритета валют</w:t>
      </w:r>
      <w:r>
        <w:rPr>
          <w:rFonts w:ascii="Times New Roman" w:hAnsi="Times New Roman"/>
          <w:color w:val="404040"/>
          <w:sz w:val="24"/>
          <w:szCs w:val="24"/>
        </w:rPr>
        <w:t xml:space="preserve"> для национальных строительных рынков стран СНГ</w:t>
      </w:r>
      <w:r w:rsidRPr="00A50BCD">
        <w:rPr>
          <w:rFonts w:ascii="Times New Roman" w:hAnsi="Times New Roman"/>
          <w:color w:val="404040"/>
          <w:sz w:val="24"/>
          <w:szCs w:val="24"/>
        </w:rPr>
        <w:t>. Так</w:t>
      </w:r>
      <w:r>
        <w:rPr>
          <w:rFonts w:ascii="Times New Roman" w:hAnsi="Times New Roman"/>
          <w:color w:val="404040"/>
          <w:sz w:val="24"/>
          <w:szCs w:val="24"/>
        </w:rPr>
        <w:t>,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ещё в середине двухтысячных годов </w:t>
      </w:r>
      <w:r>
        <w:rPr>
          <w:rFonts w:ascii="Times New Roman" w:hAnsi="Times New Roman"/>
          <w:color w:val="404040"/>
          <w:sz w:val="24"/>
          <w:szCs w:val="24"/>
        </w:rPr>
        <w:lastRenderedPageBreak/>
        <w:t xml:space="preserve">группой авторов под руководством В. М. </w:t>
      </w:r>
      <w:proofErr w:type="spellStart"/>
      <w:r>
        <w:rPr>
          <w:rFonts w:ascii="Times New Roman" w:hAnsi="Times New Roman"/>
          <w:color w:val="404040"/>
          <w:sz w:val="24"/>
          <w:szCs w:val="24"/>
        </w:rPr>
        <w:t>Дидковского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 xml:space="preserve"> была реализована технология формирования </w:t>
      </w:r>
      <w:r w:rsidRPr="00120ED3">
        <w:rPr>
          <w:rFonts w:ascii="Times New Roman" w:hAnsi="Times New Roman"/>
          <w:i/>
          <w:color w:val="404040"/>
          <w:sz w:val="24"/>
          <w:szCs w:val="24"/>
        </w:rPr>
        <w:t>паритетов</w:t>
      </w:r>
      <w:r>
        <w:rPr>
          <w:rFonts w:ascii="Times New Roman" w:hAnsi="Times New Roman"/>
          <w:color w:val="404040"/>
          <w:sz w:val="24"/>
          <w:szCs w:val="24"/>
        </w:rPr>
        <w:t xml:space="preserve"> покупательной способности валют на национальных строительных рынках стран СНГ и методика использования этих паритетов при оценке стоимости строительства новых, а так же существующих зданий и сооружений в странах СНГ.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Эти материалы были представлены </w:t>
      </w:r>
      <w:r w:rsidRPr="00A50BCD">
        <w:rPr>
          <w:rFonts w:ascii="Times New Roman" w:hAnsi="Times New Roman"/>
          <w:color w:val="404040"/>
          <w:sz w:val="24"/>
          <w:szCs w:val="24"/>
        </w:rPr>
        <w:t>в</w:t>
      </w:r>
      <w:r>
        <w:rPr>
          <w:rFonts w:ascii="Times New Roman" w:hAnsi="Times New Roman"/>
          <w:color w:val="404040"/>
          <w:sz w:val="24"/>
          <w:szCs w:val="24"/>
        </w:rPr>
        <w:t xml:space="preserve"> ряде выпусков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сборника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 межрегионал</w:t>
      </w:r>
      <w:r>
        <w:rPr>
          <w:rFonts w:ascii="Times New Roman" w:hAnsi="Times New Roman"/>
          <w:color w:val="404040"/>
          <w:sz w:val="24"/>
          <w:szCs w:val="24"/>
        </w:rPr>
        <w:t>ьного информационно-аналитического бюллетеня</w:t>
      </w:r>
      <w:r w:rsidRPr="00A50BCD">
        <w:rPr>
          <w:rFonts w:ascii="Times New Roman" w:hAnsi="Times New Roman"/>
          <w:color w:val="404040"/>
          <w:sz w:val="24"/>
          <w:szCs w:val="24"/>
        </w:rPr>
        <w:t xml:space="preserve"> "Индек</w:t>
      </w:r>
      <w:r>
        <w:rPr>
          <w:rFonts w:ascii="Times New Roman" w:hAnsi="Times New Roman"/>
          <w:color w:val="404040"/>
          <w:sz w:val="24"/>
          <w:szCs w:val="24"/>
        </w:rPr>
        <w:t xml:space="preserve">сы цен в строительстве" (издание ООО "КО-ИНВЕСТ"). В настоящее время в выпусках этих сборников регулярно представляется информация только о </w:t>
      </w:r>
      <w:r w:rsidRPr="00C756BF">
        <w:rPr>
          <w:rFonts w:ascii="Times New Roman" w:hAnsi="Times New Roman"/>
          <w:i/>
          <w:color w:val="404040"/>
          <w:sz w:val="24"/>
          <w:szCs w:val="24"/>
        </w:rPr>
        <w:t>паритете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BC4B3D">
        <w:rPr>
          <w:rFonts w:ascii="Times New Roman" w:hAnsi="Times New Roman"/>
          <w:color w:val="404040"/>
          <w:sz w:val="24"/>
          <w:szCs w:val="24"/>
        </w:rPr>
        <w:t>доллара США в рублях</w:t>
      </w:r>
      <w:r>
        <w:rPr>
          <w:rFonts w:ascii="Times New Roman" w:hAnsi="Times New Roman"/>
          <w:color w:val="404040"/>
          <w:sz w:val="24"/>
          <w:szCs w:val="24"/>
        </w:rPr>
        <w:t xml:space="preserve"> Российской Федерации. По странам СНГ (кроме Республики Казахстан) информация не формируется</w:t>
      </w:r>
      <w:r w:rsidRPr="00BC4B3D">
        <w:rPr>
          <w:rFonts w:ascii="Times New Roman" w:hAnsi="Times New Roman"/>
          <w:color w:val="404040"/>
          <w:sz w:val="24"/>
          <w:szCs w:val="24"/>
        </w:rPr>
        <w:t xml:space="preserve">.  </w:t>
      </w:r>
    </w:p>
    <w:p w:rsidR="0075794A" w:rsidRDefault="00EB5FA0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В качестве примера, н</w:t>
      </w:r>
      <w:r w:rsidR="0075794A">
        <w:rPr>
          <w:rFonts w:ascii="Times New Roman" w:hAnsi="Times New Roman"/>
          <w:color w:val="404040"/>
          <w:sz w:val="24"/>
          <w:szCs w:val="24"/>
        </w:rPr>
        <w:t>а следующем графике показан</w:t>
      </w:r>
      <w:r w:rsidR="008C1487">
        <w:rPr>
          <w:rFonts w:ascii="Times New Roman" w:hAnsi="Times New Roman"/>
          <w:color w:val="404040"/>
          <w:sz w:val="24"/>
          <w:szCs w:val="24"/>
        </w:rPr>
        <w:t xml:space="preserve">а в комплексе </w:t>
      </w:r>
      <w:proofErr w:type="gramStart"/>
      <w:r w:rsidR="008C1487">
        <w:rPr>
          <w:rFonts w:ascii="Times New Roman" w:hAnsi="Times New Roman"/>
          <w:color w:val="404040"/>
          <w:sz w:val="24"/>
          <w:szCs w:val="24"/>
        </w:rPr>
        <w:t>динамика</w:t>
      </w:r>
      <w:r w:rsidR="0075794A">
        <w:rPr>
          <w:rFonts w:ascii="Times New Roman" w:hAnsi="Times New Roman"/>
          <w:color w:val="404040"/>
          <w:sz w:val="24"/>
          <w:szCs w:val="24"/>
        </w:rPr>
        <w:t xml:space="preserve"> изменени</w:t>
      </w:r>
      <w:r>
        <w:rPr>
          <w:rFonts w:ascii="Times New Roman" w:hAnsi="Times New Roman"/>
          <w:color w:val="404040"/>
          <w:sz w:val="24"/>
          <w:szCs w:val="24"/>
        </w:rPr>
        <w:t>й</w:t>
      </w:r>
      <w:r w:rsidR="008C1487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8C1487" w:rsidRPr="008C1487">
        <w:rPr>
          <w:rFonts w:ascii="Times New Roman" w:hAnsi="Times New Roman"/>
          <w:color w:val="404040"/>
          <w:sz w:val="24"/>
          <w:szCs w:val="24"/>
        </w:rPr>
        <w:t xml:space="preserve">официального курса </w:t>
      </w:r>
      <w:r w:rsidR="008C1487" w:rsidRPr="008C1487">
        <w:rPr>
          <w:rFonts w:ascii="Times New Roman" w:hAnsi="Times New Roman"/>
          <w:i/>
          <w:color w:val="404040"/>
          <w:sz w:val="24"/>
          <w:szCs w:val="24"/>
        </w:rPr>
        <w:t>доллара США</w:t>
      </w:r>
      <w:proofErr w:type="gramEnd"/>
      <w:r w:rsidR="008C1487" w:rsidRPr="008C1487">
        <w:rPr>
          <w:rFonts w:ascii="Times New Roman" w:hAnsi="Times New Roman"/>
          <w:color w:val="404040"/>
          <w:sz w:val="24"/>
          <w:szCs w:val="24"/>
        </w:rPr>
        <w:t xml:space="preserve"> к </w:t>
      </w:r>
      <w:r w:rsidR="008C1487" w:rsidRPr="008C1487">
        <w:rPr>
          <w:rFonts w:ascii="Times New Roman" w:hAnsi="Times New Roman"/>
          <w:i/>
          <w:color w:val="404040"/>
          <w:sz w:val="24"/>
          <w:szCs w:val="24"/>
        </w:rPr>
        <w:t>рублю</w:t>
      </w:r>
      <w:r w:rsidR="008C1487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и</w:t>
      </w:r>
      <w:r w:rsidR="008C1487" w:rsidRPr="008C1487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75794A" w:rsidRPr="0075794A">
        <w:rPr>
          <w:rFonts w:ascii="Times New Roman" w:hAnsi="Times New Roman"/>
          <w:i/>
          <w:color w:val="404040"/>
          <w:sz w:val="24"/>
          <w:szCs w:val="24"/>
        </w:rPr>
        <w:t>индекса покупательной способности</w:t>
      </w:r>
      <w:r w:rsidR="0075794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75794A" w:rsidRPr="0075794A">
        <w:rPr>
          <w:rFonts w:ascii="Times New Roman" w:hAnsi="Times New Roman"/>
          <w:i/>
          <w:color w:val="404040"/>
          <w:sz w:val="24"/>
          <w:szCs w:val="24"/>
        </w:rPr>
        <w:t>дол</w:t>
      </w:r>
      <w:r w:rsidR="0075794A">
        <w:rPr>
          <w:rFonts w:ascii="Times New Roman" w:hAnsi="Times New Roman"/>
          <w:i/>
          <w:color w:val="404040"/>
          <w:sz w:val="24"/>
          <w:szCs w:val="24"/>
        </w:rPr>
        <w:t>лара</w:t>
      </w:r>
      <w:r w:rsidR="0075794A" w:rsidRPr="0075794A">
        <w:rPr>
          <w:rFonts w:ascii="Times New Roman" w:hAnsi="Times New Roman"/>
          <w:i/>
          <w:color w:val="404040"/>
          <w:sz w:val="24"/>
          <w:szCs w:val="24"/>
        </w:rPr>
        <w:t xml:space="preserve"> США</w:t>
      </w:r>
      <w:r w:rsidR="0075794A">
        <w:rPr>
          <w:rFonts w:ascii="Times New Roman" w:hAnsi="Times New Roman"/>
          <w:color w:val="404040"/>
          <w:sz w:val="24"/>
          <w:szCs w:val="24"/>
        </w:rPr>
        <w:t xml:space="preserve"> на российском строительном рынке. </w:t>
      </w:r>
      <w:r>
        <w:rPr>
          <w:rFonts w:ascii="Times New Roman" w:hAnsi="Times New Roman"/>
          <w:color w:val="404040"/>
          <w:sz w:val="24"/>
          <w:szCs w:val="24"/>
        </w:rPr>
        <w:t xml:space="preserve">Для </w:t>
      </w:r>
      <w:r w:rsidRPr="00946E15">
        <w:rPr>
          <w:rFonts w:ascii="Times New Roman" w:hAnsi="Times New Roman"/>
          <w:color w:val="404040"/>
          <w:sz w:val="24"/>
          <w:szCs w:val="24"/>
        </w:rPr>
        <w:t>функциональных значений применена логарифмическая шкала для более наглядного их отображения, поскольку</w:t>
      </w:r>
      <w:r>
        <w:rPr>
          <w:rFonts w:ascii="Times New Roman" w:hAnsi="Times New Roman"/>
          <w:color w:val="404040"/>
          <w:sz w:val="24"/>
          <w:szCs w:val="24"/>
        </w:rPr>
        <w:t xml:space="preserve"> за период с 01.01.1998 г. по </w:t>
      </w:r>
      <w:r w:rsidR="004610AB">
        <w:rPr>
          <w:rFonts w:ascii="Times New Roman" w:hAnsi="Times New Roman"/>
          <w:color w:val="404040"/>
          <w:sz w:val="24"/>
          <w:szCs w:val="24"/>
        </w:rPr>
        <w:t>30</w:t>
      </w:r>
      <w:r>
        <w:rPr>
          <w:rFonts w:ascii="Times New Roman" w:hAnsi="Times New Roman"/>
          <w:color w:val="404040"/>
          <w:sz w:val="24"/>
          <w:szCs w:val="24"/>
        </w:rPr>
        <w:t>.</w:t>
      </w:r>
      <w:r w:rsidR="004610AB">
        <w:rPr>
          <w:rFonts w:ascii="Times New Roman" w:hAnsi="Times New Roman"/>
          <w:color w:val="404040"/>
          <w:sz w:val="24"/>
          <w:szCs w:val="24"/>
        </w:rPr>
        <w:t>12</w:t>
      </w:r>
      <w:r>
        <w:rPr>
          <w:rFonts w:ascii="Times New Roman" w:hAnsi="Times New Roman"/>
          <w:color w:val="404040"/>
          <w:sz w:val="24"/>
          <w:szCs w:val="24"/>
        </w:rPr>
        <w:t>.</w:t>
      </w:r>
      <w:r w:rsidR="004610AB">
        <w:rPr>
          <w:rFonts w:ascii="Times New Roman" w:hAnsi="Times New Roman"/>
          <w:color w:val="404040"/>
          <w:sz w:val="24"/>
          <w:szCs w:val="24"/>
        </w:rPr>
        <w:t>2014</w:t>
      </w:r>
      <w:r>
        <w:rPr>
          <w:rFonts w:ascii="Times New Roman" w:hAnsi="Times New Roman"/>
          <w:color w:val="404040"/>
          <w:sz w:val="24"/>
          <w:szCs w:val="24"/>
        </w:rPr>
        <w:t xml:space="preserve"> г., при </w:t>
      </w:r>
      <w:r w:rsidRPr="00AA7F24">
        <w:rPr>
          <w:rFonts w:ascii="Times New Roman" w:hAnsi="Times New Roman"/>
          <w:color w:val="404040"/>
          <w:sz w:val="24"/>
          <w:szCs w:val="24"/>
        </w:rPr>
        <w:t>разброс</w:t>
      </w:r>
      <w:r>
        <w:rPr>
          <w:rFonts w:ascii="Times New Roman" w:hAnsi="Times New Roman"/>
          <w:color w:val="404040"/>
          <w:sz w:val="24"/>
          <w:szCs w:val="24"/>
        </w:rPr>
        <w:t>е</w:t>
      </w:r>
      <w:r w:rsidRPr="00AA7F24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абсолютных</w:t>
      </w:r>
      <w:r w:rsidRPr="00946E15">
        <w:rPr>
          <w:rFonts w:ascii="Times New Roman" w:hAnsi="Times New Roman"/>
          <w:color w:val="404040"/>
          <w:sz w:val="24"/>
          <w:szCs w:val="24"/>
        </w:rPr>
        <w:t xml:space="preserve"> значения</w:t>
      </w:r>
      <w:r>
        <w:rPr>
          <w:rFonts w:ascii="Times New Roman" w:hAnsi="Times New Roman"/>
          <w:color w:val="404040"/>
          <w:sz w:val="24"/>
          <w:szCs w:val="24"/>
        </w:rPr>
        <w:t>х</w:t>
      </w:r>
      <w:r w:rsidRPr="00946E15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EB5FA0">
        <w:rPr>
          <w:rFonts w:ascii="Times New Roman" w:hAnsi="Times New Roman"/>
          <w:i/>
          <w:color w:val="404040"/>
          <w:sz w:val="24"/>
          <w:szCs w:val="24"/>
        </w:rPr>
        <w:t>индекса покупа</w:t>
      </w:r>
      <w:r>
        <w:rPr>
          <w:rFonts w:ascii="Times New Roman" w:hAnsi="Times New Roman"/>
          <w:i/>
          <w:color w:val="404040"/>
          <w:sz w:val="24"/>
          <w:szCs w:val="24"/>
        </w:rPr>
        <w:t>тельной способности доллара США</w:t>
      </w:r>
      <w:r w:rsidRPr="00946E15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 xml:space="preserve">в размере </w:t>
      </w:r>
      <w:r w:rsidRPr="00EB5FA0">
        <w:rPr>
          <w:rFonts w:ascii="Times New Roman" w:hAnsi="Times New Roman"/>
          <w:color w:val="404040"/>
          <w:sz w:val="24"/>
          <w:szCs w:val="24"/>
        </w:rPr>
        <w:t>0,3</w:t>
      </w:r>
      <w:r>
        <w:rPr>
          <w:rFonts w:ascii="Times New Roman" w:hAnsi="Times New Roman"/>
          <w:color w:val="404040"/>
          <w:sz w:val="24"/>
          <w:szCs w:val="24"/>
        </w:rPr>
        <w:t>2–</w:t>
      </w:r>
      <w:r w:rsidRPr="00EB5FA0">
        <w:rPr>
          <w:rFonts w:ascii="Times New Roman" w:hAnsi="Times New Roman"/>
          <w:color w:val="404040"/>
          <w:sz w:val="24"/>
          <w:szCs w:val="24"/>
        </w:rPr>
        <w:t>1,891</w:t>
      </w:r>
      <w:r>
        <w:rPr>
          <w:rFonts w:ascii="Times New Roman" w:hAnsi="Times New Roman"/>
          <w:color w:val="404040"/>
          <w:sz w:val="24"/>
          <w:szCs w:val="24"/>
        </w:rPr>
        <w:t>,</w:t>
      </w:r>
      <w:r w:rsidRPr="00946E15"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</w:rPr>
        <w:t>валютные колебания составили 5,996– 65,153.</w:t>
      </w:r>
    </w:p>
    <w:p w:rsidR="0075794A" w:rsidRPr="00EB5FA0" w:rsidRDefault="0075794A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75794A" w:rsidRDefault="00F61CE5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25F6C8A7">
            <wp:extent cx="5581649" cy="24860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48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A0" w:rsidRDefault="00EB5FA0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0E0CD4" w:rsidRDefault="005D78E7" w:rsidP="005D78E7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95296E">
        <w:rPr>
          <w:rFonts w:ascii="Times New Roman" w:hAnsi="Times New Roman"/>
          <w:color w:val="404040"/>
          <w:sz w:val="24"/>
          <w:szCs w:val="24"/>
        </w:rPr>
        <w:t xml:space="preserve">Тема </w:t>
      </w:r>
      <w:r w:rsidR="003E7B64" w:rsidRPr="0095296E">
        <w:rPr>
          <w:rFonts w:ascii="Times New Roman" w:hAnsi="Times New Roman"/>
          <w:color w:val="404040"/>
          <w:sz w:val="24"/>
          <w:szCs w:val="24"/>
        </w:rPr>
        <w:t xml:space="preserve">пересчёта </w:t>
      </w:r>
      <w:r w:rsidR="003E7B64" w:rsidRPr="0095296E">
        <w:rPr>
          <w:rFonts w:ascii="Times New Roman" w:hAnsi="Times New Roman"/>
          <w:i/>
          <w:color w:val="404040"/>
          <w:sz w:val="24"/>
          <w:szCs w:val="24"/>
        </w:rPr>
        <w:t>гривен</w:t>
      </w:r>
      <w:r w:rsidR="003E7B64" w:rsidRPr="0095296E">
        <w:rPr>
          <w:rFonts w:ascii="Times New Roman" w:hAnsi="Times New Roman"/>
          <w:color w:val="404040"/>
          <w:sz w:val="24"/>
          <w:szCs w:val="24"/>
        </w:rPr>
        <w:t xml:space="preserve"> в </w:t>
      </w:r>
      <w:r w:rsidR="003E7B64" w:rsidRPr="0095296E">
        <w:rPr>
          <w:rFonts w:ascii="Times New Roman" w:hAnsi="Times New Roman"/>
          <w:i/>
          <w:color w:val="404040"/>
          <w:sz w:val="24"/>
          <w:szCs w:val="24"/>
        </w:rPr>
        <w:t>рубли</w:t>
      </w:r>
      <w:r w:rsidR="003E7B64" w:rsidRPr="0095296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в Республике Крым и городе федерального значения Севастополе, по существу, носила одномоментный характер для формирования новых стоимостей во всех сферах деятельности (оборот и обмен материальных и нематериальных ценностей, бухгалтерский учёт и др.). Однако по нашему мнению, тема </w:t>
      </w:r>
      <w:r w:rsidR="003E7B64" w:rsidRPr="0095296E">
        <w:rPr>
          <w:rFonts w:ascii="Times New Roman" w:hAnsi="Times New Roman"/>
          <w:i/>
          <w:color w:val="404040"/>
          <w:sz w:val="24"/>
          <w:szCs w:val="24"/>
        </w:rPr>
        <w:t>паритета (соответствия) валют</w:t>
      </w:r>
      <w:r w:rsidR="003E7B64" w:rsidRPr="0095296E">
        <w:rPr>
          <w:rFonts w:ascii="Times New Roman" w:hAnsi="Times New Roman"/>
          <w:color w:val="404040"/>
          <w:sz w:val="24"/>
          <w:szCs w:val="24"/>
        </w:rPr>
        <w:t xml:space="preserve"> (в широком понимании) 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может оставаться </w:t>
      </w:r>
      <w:r w:rsidR="00D55817" w:rsidRPr="0095296E">
        <w:rPr>
          <w:rFonts w:ascii="Times New Roman" w:hAnsi="Times New Roman"/>
          <w:color w:val="404040"/>
          <w:sz w:val="24"/>
          <w:szCs w:val="24"/>
        </w:rPr>
        <w:t>"</w:t>
      </w:r>
      <w:r w:rsidRPr="0095296E">
        <w:rPr>
          <w:rFonts w:ascii="Times New Roman" w:hAnsi="Times New Roman"/>
          <w:color w:val="404040"/>
          <w:sz w:val="24"/>
          <w:szCs w:val="24"/>
        </w:rPr>
        <w:t>на повестке</w:t>
      </w:r>
      <w:r w:rsidR="00D55817" w:rsidRPr="0095296E">
        <w:rPr>
          <w:rFonts w:ascii="Times New Roman" w:hAnsi="Times New Roman"/>
          <w:color w:val="404040"/>
          <w:sz w:val="24"/>
          <w:szCs w:val="24"/>
        </w:rPr>
        <w:t xml:space="preserve"> дня"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 в новых субъектах Российской Федерации ещё </w:t>
      </w:r>
      <w:r w:rsidR="00BE7B28" w:rsidRPr="0095296E">
        <w:rPr>
          <w:rFonts w:ascii="Times New Roman" w:hAnsi="Times New Roman"/>
          <w:color w:val="404040"/>
          <w:sz w:val="24"/>
          <w:szCs w:val="24"/>
        </w:rPr>
        <w:t>некоторое</w:t>
      </w:r>
      <w:r w:rsidRPr="0095296E">
        <w:rPr>
          <w:rFonts w:ascii="Times New Roman" w:hAnsi="Times New Roman"/>
          <w:color w:val="404040"/>
          <w:sz w:val="24"/>
          <w:szCs w:val="24"/>
        </w:rPr>
        <w:t xml:space="preserve"> время</w:t>
      </w:r>
      <w:r w:rsidR="004D4996" w:rsidRPr="0095296E">
        <w:rPr>
          <w:rFonts w:ascii="Times New Roman" w:hAnsi="Times New Roman"/>
          <w:color w:val="404040"/>
          <w:sz w:val="24"/>
          <w:szCs w:val="24"/>
        </w:rPr>
        <w:t xml:space="preserve">. </w:t>
      </w:r>
      <w:r w:rsidR="000E0CD4">
        <w:rPr>
          <w:rFonts w:ascii="Times New Roman" w:hAnsi="Times New Roman"/>
          <w:color w:val="404040"/>
          <w:sz w:val="24"/>
          <w:szCs w:val="24"/>
        </w:rPr>
        <w:t>Н</w:t>
      </w:r>
      <w:bookmarkStart w:id="0" w:name="_GoBack"/>
      <w:bookmarkEnd w:id="0"/>
      <w:r w:rsidR="000E0CD4">
        <w:rPr>
          <w:rFonts w:ascii="Times New Roman" w:hAnsi="Times New Roman"/>
          <w:color w:val="404040"/>
          <w:sz w:val="24"/>
          <w:szCs w:val="24"/>
        </w:rPr>
        <w:t>апример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>, для судебной защиты нарушенного права</w:t>
      </w:r>
      <w:r w:rsidR="0070788E">
        <w:rPr>
          <w:rFonts w:ascii="Times New Roman" w:hAnsi="Times New Roman"/>
          <w:color w:val="404040"/>
          <w:sz w:val="24"/>
          <w:szCs w:val="24"/>
        </w:rPr>
        <w:t>,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законодатель (ч</w:t>
      </w:r>
      <w:r w:rsidR="0070788E">
        <w:rPr>
          <w:rFonts w:ascii="Times New Roman" w:hAnsi="Times New Roman"/>
          <w:color w:val="404040"/>
          <w:sz w:val="24"/>
          <w:szCs w:val="24"/>
        </w:rPr>
        <w:t>. 2 ст. 196 ГК РФ) ограничил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срок</w:t>
      </w:r>
      <w:r w:rsidR="0070788E">
        <w:rPr>
          <w:rFonts w:ascii="Times New Roman" w:hAnsi="Times New Roman"/>
          <w:color w:val="404040"/>
          <w:sz w:val="24"/>
          <w:szCs w:val="24"/>
        </w:rPr>
        <w:t xml:space="preserve"> исковой давности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 десять</w:t>
      </w:r>
      <w:r w:rsidR="0070788E">
        <w:rPr>
          <w:rFonts w:ascii="Times New Roman" w:hAnsi="Times New Roman"/>
          <w:color w:val="404040"/>
          <w:sz w:val="24"/>
          <w:szCs w:val="24"/>
        </w:rPr>
        <w:t>ю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70788E">
        <w:rPr>
          <w:rFonts w:ascii="Times New Roman" w:hAnsi="Times New Roman"/>
          <w:color w:val="404040"/>
          <w:sz w:val="24"/>
          <w:szCs w:val="24"/>
        </w:rPr>
        <w:t>годами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. С учётом </w:t>
      </w:r>
      <w:proofErr w:type="gramStart"/>
      <w:r w:rsidR="000E0CD4" w:rsidRPr="000E0CD4">
        <w:rPr>
          <w:rFonts w:ascii="Times New Roman" w:hAnsi="Times New Roman"/>
          <w:color w:val="404040"/>
          <w:sz w:val="24"/>
          <w:szCs w:val="24"/>
        </w:rPr>
        <w:t>даты начала течения срока исковой давности</w:t>
      </w:r>
      <w:proofErr w:type="gramEnd"/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в спорах, вытекающих из правоотношений возникших или</w:t>
      </w:r>
      <w:r w:rsidR="000E0CD4">
        <w:rPr>
          <w:rFonts w:ascii="Times New Roman" w:hAnsi="Times New Roman"/>
          <w:color w:val="404040"/>
          <w:sz w:val="24"/>
          <w:szCs w:val="24"/>
        </w:rPr>
        <w:t xml:space="preserve"> длящихся с момента, когда расчё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ты между сторонами происходили в </w:t>
      </w:r>
      <w:proofErr w:type="spellStart"/>
      <w:r w:rsidR="000E0CD4" w:rsidRPr="000E0CD4">
        <w:rPr>
          <w:rFonts w:ascii="Times New Roman" w:hAnsi="Times New Roman"/>
          <w:color w:val="404040"/>
          <w:sz w:val="24"/>
          <w:szCs w:val="24"/>
        </w:rPr>
        <w:t>гривнях</w:t>
      </w:r>
      <w:proofErr w:type="spellEnd"/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, прогнозируемый период возникновения задач пересчёта </w:t>
      </w:r>
      <w:r w:rsidR="000E0CD4" w:rsidRPr="000E0CD4">
        <w:rPr>
          <w:rFonts w:ascii="Times New Roman" w:hAnsi="Times New Roman"/>
          <w:i/>
          <w:color w:val="404040"/>
          <w:sz w:val="24"/>
          <w:szCs w:val="24"/>
        </w:rPr>
        <w:t>гривен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 xml:space="preserve"> в </w:t>
      </w:r>
      <w:r w:rsidR="000E0CD4" w:rsidRPr="000E0CD4">
        <w:rPr>
          <w:rFonts w:ascii="Times New Roman" w:hAnsi="Times New Roman"/>
          <w:i/>
          <w:color w:val="404040"/>
          <w:sz w:val="24"/>
          <w:szCs w:val="24"/>
        </w:rPr>
        <w:t>рубли</w:t>
      </w:r>
      <w:r w:rsidR="000E0CD4" w:rsidRPr="000E0CD4">
        <w:rPr>
          <w:rFonts w:ascii="Times New Roman" w:hAnsi="Times New Roman"/>
          <w:color w:val="404040"/>
          <w:sz w:val="24"/>
          <w:szCs w:val="24"/>
        </w:rPr>
        <w:t>, может протянуться ещё на многие годы</w:t>
      </w:r>
      <w:r w:rsidR="000E0CD4">
        <w:rPr>
          <w:rFonts w:ascii="Times New Roman" w:hAnsi="Times New Roman"/>
          <w:color w:val="404040"/>
          <w:sz w:val="24"/>
          <w:szCs w:val="24"/>
        </w:rPr>
        <w:t>.</w:t>
      </w:r>
      <w:r w:rsidR="0070788E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FC1845" w:rsidRDefault="00FC1845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Из проведённого сопоставительного анализа можно заключить, что в разных </w:t>
      </w:r>
      <w:r w:rsidR="00130BA0">
        <w:rPr>
          <w:rFonts w:ascii="Times New Roman" w:hAnsi="Times New Roman"/>
          <w:color w:val="404040"/>
          <w:sz w:val="24"/>
          <w:szCs w:val="24"/>
        </w:rPr>
        <w:t>государствах</w:t>
      </w:r>
      <w:r>
        <w:rPr>
          <w:rFonts w:ascii="Times New Roman" w:hAnsi="Times New Roman"/>
          <w:color w:val="404040"/>
          <w:sz w:val="24"/>
          <w:szCs w:val="24"/>
        </w:rPr>
        <w:t xml:space="preserve"> в различных сферах финансово-хозяйственной</w:t>
      </w:r>
      <w:r w:rsidRPr="00C752E9">
        <w:rPr>
          <w:rFonts w:ascii="Times New Roman" w:hAnsi="Times New Roman"/>
          <w:color w:val="404040"/>
          <w:sz w:val="24"/>
          <w:szCs w:val="24"/>
        </w:rPr>
        <w:t xml:space="preserve"> деятельности</w:t>
      </w:r>
      <w:r w:rsidR="00130BA0">
        <w:rPr>
          <w:rFonts w:ascii="Times New Roman" w:hAnsi="Times New Roman"/>
          <w:color w:val="404040"/>
          <w:sz w:val="24"/>
          <w:szCs w:val="24"/>
        </w:rPr>
        <w:t xml:space="preserve"> результаты расчётов отношений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130BA0">
        <w:rPr>
          <w:rFonts w:ascii="Times New Roman" w:hAnsi="Times New Roman"/>
          <w:i/>
          <w:color w:val="404040"/>
          <w:sz w:val="24"/>
          <w:szCs w:val="24"/>
        </w:rPr>
        <w:t>финансовых индикаторов</w:t>
      </w:r>
      <w:r w:rsidR="00EB5FA0">
        <w:rPr>
          <w:rFonts w:ascii="Times New Roman" w:hAnsi="Times New Roman"/>
          <w:color w:val="404040"/>
          <w:sz w:val="24"/>
          <w:szCs w:val="24"/>
        </w:rPr>
        <w:t>,</w:t>
      </w:r>
      <w:r>
        <w:rPr>
          <w:rFonts w:ascii="Times New Roman" w:hAnsi="Times New Roman"/>
          <w:color w:val="404040"/>
          <w:sz w:val="24"/>
          <w:szCs w:val="24"/>
        </w:rPr>
        <w:t xml:space="preserve"> отличаются между собой не только абсолютными значениями, но и тенденциями своих изменений. Соответственно, попытка формирования и использования </w:t>
      </w:r>
      <w:r w:rsidRPr="00A0433F">
        <w:rPr>
          <w:rFonts w:ascii="Times New Roman" w:hAnsi="Times New Roman"/>
          <w:color w:val="404040"/>
          <w:sz w:val="24"/>
          <w:szCs w:val="24"/>
        </w:rPr>
        <w:t>еди</w:t>
      </w:r>
      <w:r>
        <w:rPr>
          <w:rFonts w:ascii="Times New Roman" w:hAnsi="Times New Roman"/>
          <w:color w:val="404040"/>
          <w:sz w:val="24"/>
          <w:szCs w:val="24"/>
        </w:rPr>
        <w:t xml:space="preserve">ного и универсального </w:t>
      </w:r>
      <w:r w:rsidRPr="00A0433F">
        <w:rPr>
          <w:rFonts w:ascii="Times New Roman" w:hAnsi="Times New Roman"/>
          <w:i/>
          <w:color w:val="404040"/>
          <w:sz w:val="24"/>
          <w:szCs w:val="24"/>
        </w:rPr>
        <w:t>индикатор</w:t>
      </w:r>
      <w:r>
        <w:rPr>
          <w:rFonts w:ascii="Times New Roman" w:hAnsi="Times New Roman"/>
          <w:i/>
          <w:color w:val="404040"/>
          <w:sz w:val="24"/>
          <w:szCs w:val="24"/>
        </w:rPr>
        <w:t>а</w:t>
      </w:r>
      <w:r>
        <w:rPr>
          <w:rFonts w:ascii="Times New Roman" w:hAnsi="Times New Roman"/>
          <w:color w:val="404040"/>
          <w:sz w:val="24"/>
          <w:szCs w:val="24"/>
        </w:rPr>
        <w:t>, показывающего</w:t>
      </w:r>
      <w:r w:rsidRPr="00A0433F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130BA0" w:rsidRPr="00254503">
        <w:rPr>
          <w:rFonts w:ascii="Times New Roman" w:hAnsi="Times New Roman"/>
          <w:i/>
          <w:color w:val="404040"/>
          <w:sz w:val="24"/>
          <w:szCs w:val="24"/>
        </w:rPr>
        <w:t xml:space="preserve">паритет </w:t>
      </w:r>
      <w:r w:rsidRPr="00254503">
        <w:rPr>
          <w:rFonts w:ascii="Times New Roman" w:hAnsi="Times New Roman"/>
          <w:i/>
          <w:color w:val="404040"/>
          <w:sz w:val="24"/>
          <w:szCs w:val="24"/>
        </w:rPr>
        <w:t>(</w:t>
      </w:r>
      <w:r w:rsidR="00130BA0" w:rsidRPr="00254503">
        <w:rPr>
          <w:rFonts w:ascii="Times New Roman" w:hAnsi="Times New Roman"/>
          <w:i/>
          <w:color w:val="404040"/>
          <w:sz w:val="24"/>
          <w:szCs w:val="24"/>
        </w:rPr>
        <w:t>соответствие</w:t>
      </w:r>
      <w:r w:rsidRPr="00254503">
        <w:rPr>
          <w:rFonts w:ascii="Times New Roman" w:hAnsi="Times New Roman"/>
          <w:i/>
          <w:color w:val="404040"/>
          <w:sz w:val="24"/>
          <w:szCs w:val="24"/>
        </w:rPr>
        <w:t>) валют</w:t>
      </w:r>
      <w:r w:rsidRPr="00A0433F">
        <w:rPr>
          <w:rFonts w:ascii="Times New Roman" w:hAnsi="Times New Roman"/>
          <w:color w:val="404040"/>
          <w:sz w:val="24"/>
          <w:szCs w:val="24"/>
        </w:rPr>
        <w:t xml:space="preserve"> в целом</w:t>
      </w:r>
      <w:r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A238BB">
        <w:rPr>
          <w:rFonts w:ascii="Times New Roman" w:hAnsi="Times New Roman"/>
          <w:color w:val="404040"/>
          <w:sz w:val="24"/>
          <w:szCs w:val="24"/>
        </w:rPr>
        <w:t>будет давать</w:t>
      </w:r>
      <w:r>
        <w:rPr>
          <w:rFonts w:ascii="Times New Roman" w:hAnsi="Times New Roman"/>
          <w:color w:val="404040"/>
          <w:sz w:val="24"/>
          <w:szCs w:val="24"/>
        </w:rPr>
        <w:t xml:space="preserve"> некорректные результаты для разных сфер</w:t>
      </w:r>
      <w:r w:rsidR="00A238BB">
        <w:rPr>
          <w:rFonts w:ascii="Times New Roman" w:hAnsi="Times New Roman"/>
          <w:color w:val="404040"/>
          <w:sz w:val="24"/>
          <w:szCs w:val="24"/>
        </w:rPr>
        <w:t xml:space="preserve"> финансово-хозяйственной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727517">
        <w:rPr>
          <w:rFonts w:ascii="Times New Roman" w:hAnsi="Times New Roman"/>
          <w:color w:val="404040"/>
          <w:sz w:val="24"/>
          <w:szCs w:val="24"/>
        </w:rPr>
        <w:t>деятельности</w:t>
      </w:r>
      <w:r>
        <w:rPr>
          <w:rFonts w:ascii="Times New Roman" w:hAnsi="Times New Roman"/>
          <w:color w:val="404040"/>
          <w:sz w:val="24"/>
          <w:szCs w:val="24"/>
        </w:rPr>
        <w:t xml:space="preserve">.  </w:t>
      </w:r>
    </w:p>
    <w:p w:rsidR="0091788F" w:rsidRDefault="0091788F" w:rsidP="00A806CF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7853AF" w:rsidRPr="007853AF" w:rsidRDefault="007853AF" w:rsidP="007853AF">
      <w:pPr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7853AF">
        <w:rPr>
          <w:rFonts w:ascii="Times New Roman" w:hAnsi="Times New Roman"/>
          <w:color w:val="404040"/>
          <w:sz w:val="24"/>
          <w:szCs w:val="24"/>
        </w:rPr>
        <w:t>30</w:t>
      </w:r>
      <w:r>
        <w:rPr>
          <w:rFonts w:ascii="Times New Roman" w:hAnsi="Times New Roman"/>
          <w:color w:val="404040"/>
          <w:sz w:val="24"/>
          <w:szCs w:val="24"/>
        </w:rPr>
        <w:t xml:space="preserve"> декабря</w:t>
      </w:r>
      <w:r w:rsidRPr="007853AF">
        <w:rPr>
          <w:rFonts w:ascii="Times New Roman" w:hAnsi="Times New Roman"/>
          <w:color w:val="404040"/>
          <w:sz w:val="24"/>
          <w:szCs w:val="24"/>
        </w:rPr>
        <w:t xml:space="preserve"> 2014 г.</w:t>
      </w:r>
    </w:p>
    <w:p w:rsidR="007853AF" w:rsidRPr="00CA0693" w:rsidRDefault="007853AF" w:rsidP="007853AF">
      <w:pPr>
        <w:spacing w:after="0"/>
        <w:ind w:left="284"/>
        <w:jc w:val="both"/>
        <w:rPr>
          <w:rFonts w:ascii="Times New Roman" w:hAnsi="Times New Roman"/>
          <w:color w:val="404040"/>
          <w:sz w:val="10"/>
          <w:szCs w:val="10"/>
        </w:rPr>
      </w:pPr>
    </w:p>
    <w:p w:rsidR="007853AF" w:rsidRDefault="007853AF" w:rsidP="007853AF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Эксперты Корпоративной аналитической группы: </w:t>
      </w:r>
    </w:p>
    <w:p w:rsidR="007853AF" w:rsidRDefault="007853AF" w:rsidP="007853AF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A61CD6">
        <w:rPr>
          <w:rFonts w:ascii="Times New Roman" w:hAnsi="Times New Roman"/>
          <w:color w:val="404040"/>
          <w:sz w:val="24"/>
          <w:szCs w:val="24"/>
        </w:rPr>
        <w:t>Пичуев Н</w:t>
      </w:r>
      <w:r>
        <w:rPr>
          <w:rFonts w:ascii="Times New Roman" w:hAnsi="Times New Roman"/>
          <w:color w:val="404040"/>
          <w:sz w:val="24"/>
          <w:szCs w:val="24"/>
        </w:rPr>
        <w:t>.</w:t>
      </w:r>
      <w:r w:rsidRPr="00A61CD6">
        <w:rPr>
          <w:rFonts w:ascii="Times New Roman" w:hAnsi="Times New Roman"/>
          <w:color w:val="404040"/>
          <w:sz w:val="24"/>
          <w:szCs w:val="24"/>
        </w:rPr>
        <w:t xml:space="preserve"> Н</w:t>
      </w:r>
      <w:r w:rsidR="0027191A">
        <w:rPr>
          <w:rFonts w:ascii="Times New Roman" w:hAnsi="Times New Roman"/>
          <w:color w:val="404040"/>
          <w:sz w:val="24"/>
          <w:szCs w:val="24"/>
        </w:rPr>
        <w:t xml:space="preserve">., </w:t>
      </w:r>
      <w:proofErr w:type="spellStart"/>
      <w:r w:rsidR="0027191A">
        <w:rPr>
          <w:rFonts w:ascii="Times New Roman" w:hAnsi="Times New Roman"/>
          <w:color w:val="404040"/>
          <w:sz w:val="24"/>
          <w:szCs w:val="24"/>
        </w:rPr>
        <w:t>Мринская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 xml:space="preserve"> Н. В.</w:t>
      </w:r>
      <w:r w:rsidRPr="00A61CD6">
        <w:rPr>
          <w:rFonts w:ascii="Times New Roman" w:hAnsi="Times New Roman"/>
          <w:color w:val="404040"/>
          <w:sz w:val="24"/>
          <w:szCs w:val="24"/>
        </w:rPr>
        <w:t xml:space="preserve"> и Пичуев И</w:t>
      </w:r>
      <w:r>
        <w:rPr>
          <w:rFonts w:ascii="Times New Roman" w:hAnsi="Times New Roman"/>
          <w:color w:val="404040"/>
          <w:sz w:val="24"/>
          <w:szCs w:val="24"/>
        </w:rPr>
        <w:t>.</w:t>
      </w:r>
      <w:r w:rsidRPr="00A61CD6">
        <w:rPr>
          <w:rFonts w:ascii="Times New Roman" w:hAnsi="Times New Roman"/>
          <w:color w:val="404040"/>
          <w:sz w:val="24"/>
          <w:szCs w:val="24"/>
        </w:rPr>
        <w:t xml:space="preserve"> Н</w:t>
      </w:r>
      <w:r>
        <w:rPr>
          <w:rFonts w:ascii="Times New Roman" w:hAnsi="Times New Roman"/>
          <w:color w:val="404040"/>
          <w:sz w:val="24"/>
          <w:szCs w:val="24"/>
        </w:rPr>
        <w:t>.</w:t>
      </w:r>
      <w:r w:rsidRPr="00A61CD6">
        <w:rPr>
          <w:rFonts w:ascii="Times New Roman" w:hAnsi="Times New Roman"/>
          <w:color w:val="404040"/>
          <w:sz w:val="24"/>
          <w:szCs w:val="24"/>
        </w:rPr>
        <w:t>, члены Севастопольского городского комитета Всероссийского профессионального союза работников аудиторских, оценочных, экспертн</w:t>
      </w:r>
      <w:r>
        <w:rPr>
          <w:rFonts w:ascii="Times New Roman" w:hAnsi="Times New Roman"/>
          <w:color w:val="404040"/>
          <w:sz w:val="24"/>
          <w:szCs w:val="24"/>
        </w:rPr>
        <w:t xml:space="preserve">ых и консалтинговых организаций. </w:t>
      </w:r>
    </w:p>
    <w:p w:rsidR="007853AF" w:rsidRDefault="007853AF" w:rsidP="007853AF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A61CD6">
        <w:rPr>
          <w:rFonts w:ascii="Times New Roman" w:hAnsi="Times New Roman"/>
          <w:color w:val="404040"/>
          <w:sz w:val="24"/>
          <w:szCs w:val="24"/>
        </w:rPr>
        <w:t>г. Севастополь, +7-978-750-8067,</w:t>
      </w:r>
      <w:r>
        <w:rPr>
          <w:rFonts w:ascii="Times New Roman" w:hAnsi="Times New Roman"/>
          <w:color w:val="404040"/>
          <w:sz w:val="24"/>
          <w:szCs w:val="24"/>
        </w:rPr>
        <w:t xml:space="preserve"> +7-978-731-8096, +7-978-750-8244.</w:t>
      </w:r>
      <w:r w:rsidRPr="00A61CD6">
        <w:rPr>
          <w:rFonts w:ascii="Times New Roman" w:hAnsi="Times New Roman"/>
          <w:color w:val="404040"/>
          <w:sz w:val="24"/>
          <w:szCs w:val="24"/>
        </w:rPr>
        <w:t xml:space="preserve">  </w:t>
      </w:r>
    </w:p>
    <w:p w:rsidR="007853AF" w:rsidRPr="00FD5656" w:rsidRDefault="007853AF" w:rsidP="007853AF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val="en-US"/>
        </w:rPr>
      </w:pPr>
      <w:r>
        <w:rPr>
          <w:rFonts w:ascii="Times New Roman" w:hAnsi="Times New Roman"/>
          <w:color w:val="404040"/>
          <w:sz w:val="24"/>
          <w:szCs w:val="24"/>
          <w:lang w:val="en-US"/>
        </w:rPr>
        <w:t>E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>-</w:t>
      </w:r>
      <w:r w:rsidRPr="00287359">
        <w:rPr>
          <w:rFonts w:ascii="Times New Roman" w:hAnsi="Times New Roman"/>
          <w:color w:val="404040"/>
          <w:sz w:val="24"/>
          <w:szCs w:val="24"/>
          <w:lang w:val="en-US"/>
        </w:rPr>
        <w:t>mail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 xml:space="preserve">:  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pin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>20@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mail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>.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ru</w:t>
      </w:r>
      <w:proofErr w:type="gramStart"/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 xml:space="preserve">,  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mrinskay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>@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mail</w:t>
      </w:r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>.</w:t>
      </w:r>
      <w:r>
        <w:rPr>
          <w:rFonts w:ascii="Times New Roman" w:hAnsi="Times New Roman"/>
          <w:color w:val="404040"/>
          <w:sz w:val="24"/>
          <w:szCs w:val="24"/>
          <w:lang w:val="en-US"/>
        </w:rPr>
        <w:t>ru</w:t>
      </w:r>
      <w:proofErr w:type="gramEnd"/>
      <w:r w:rsidRPr="00FD5656">
        <w:rPr>
          <w:rFonts w:ascii="Times New Roman" w:hAnsi="Times New Roman"/>
          <w:color w:val="404040"/>
          <w:sz w:val="24"/>
          <w:szCs w:val="24"/>
          <w:lang w:val="en-US"/>
        </w:rPr>
        <w:t xml:space="preserve">. </w:t>
      </w:r>
    </w:p>
    <w:p w:rsidR="00340309" w:rsidRPr="00FD5656" w:rsidRDefault="00340309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  <w:lang w:val="en-US"/>
        </w:rPr>
      </w:pPr>
    </w:p>
    <w:p w:rsidR="0052781F" w:rsidRPr="00C51059" w:rsidRDefault="00CD6CE1" w:rsidP="003943E5">
      <w:pPr>
        <w:spacing w:after="0"/>
        <w:ind w:firstLine="567"/>
        <w:jc w:val="both"/>
        <w:rPr>
          <w:rFonts w:ascii="Times New Roman" w:hAnsi="Times New Roman"/>
          <w:color w:val="404040"/>
          <w:sz w:val="24"/>
          <w:szCs w:val="24"/>
        </w:rPr>
      </w:pPr>
      <w:r w:rsidRPr="00C51059">
        <w:rPr>
          <w:rFonts w:ascii="Times New Roman" w:hAnsi="Times New Roman"/>
          <w:color w:val="404040"/>
          <w:sz w:val="24"/>
          <w:szCs w:val="24"/>
        </w:rPr>
        <w:t>Информационные источники:</w:t>
      </w:r>
    </w:p>
    <w:p w:rsidR="0000262E" w:rsidRPr="00CA0693" w:rsidRDefault="00CA0693" w:rsidP="000824F7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color w:val="404040"/>
          <w:sz w:val="24"/>
          <w:szCs w:val="24"/>
        </w:rPr>
      </w:pPr>
      <w:r w:rsidRPr="00CA0693">
        <w:rPr>
          <w:rFonts w:ascii="Times New Roman" w:hAnsi="Times New Roman"/>
          <w:color w:val="404040"/>
          <w:sz w:val="24"/>
          <w:szCs w:val="24"/>
        </w:rPr>
        <w:t>Официальные</w:t>
      </w:r>
      <w:r w:rsidR="00930D49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 w:rsidR="00224EDC">
        <w:rPr>
          <w:rFonts w:ascii="Times New Roman" w:hAnsi="Times New Roman"/>
          <w:color w:val="404040"/>
          <w:sz w:val="24"/>
          <w:szCs w:val="24"/>
        </w:rPr>
        <w:t>интернет-ресурсы</w:t>
      </w:r>
      <w:proofErr w:type="spellEnd"/>
      <w:r w:rsidR="00224EDC">
        <w:rPr>
          <w:rFonts w:ascii="Times New Roman" w:hAnsi="Times New Roman"/>
          <w:color w:val="404040"/>
          <w:sz w:val="24"/>
          <w:szCs w:val="24"/>
        </w:rPr>
        <w:t>:</w:t>
      </w:r>
      <w:r w:rsidR="00930D49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gramStart"/>
      <w:r w:rsidR="00930D49" w:rsidRPr="00CA0693">
        <w:rPr>
          <w:rFonts w:ascii="Times New Roman" w:hAnsi="Times New Roman"/>
          <w:color w:val="404040"/>
          <w:sz w:val="24"/>
          <w:szCs w:val="24"/>
        </w:rPr>
        <w:t>Министерства финансов Российской Федерации (Минфин</w:t>
      </w:r>
      <w:r w:rsidRPr="00CA0693">
        <w:rPr>
          <w:rFonts w:ascii="Times New Roman" w:hAnsi="Times New Roman"/>
          <w:color w:val="404040"/>
          <w:sz w:val="24"/>
          <w:szCs w:val="24"/>
        </w:rPr>
        <w:t>, http://minfin.ru</w:t>
      </w:r>
      <w:r w:rsidR="00930D49" w:rsidRPr="00CA0693">
        <w:rPr>
          <w:rFonts w:ascii="Times New Roman" w:hAnsi="Times New Roman"/>
          <w:color w:val="404040"/>
          <w:sz w:val="24"/>
          <w:szCs w:val="24"/>
        </w:rPr>
        <w:t>)</w:t>
      </w:r>
      <w:r w:rsidRPr="00CA0693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="007453A8" w:rsidRPr="00CA0693">
        <w:rPr>
          <w:rFonts w:ascii="Times New Roman" w:hAnsi="Times New Roman"/>
          <w:color w:val="404040"/>
          <w:sz w:val="24"/>
          <w:szCs w:val="24"/>
        </w:rPr>
        <w:t>Б</w:t>
      </w:r>
      <w:r w:rsidRPr="00CA0693">
        <w:rPr>
          <w:rFonts w:ascii="Times New Roman" w:hAnsi="Times New Roman"/>
          <w:color w:val="404040"/>
          <w:sz w:val="24"/>
          <w:szCs w:val="24"/>
        </w:rPr>
        <w:t xml:space="preserve">анка России (http://www.cbr.ru); </w:t>
      </w:r>
      <w:r w:rsidR="00F2636A" w:rsidRPr="00CA0693">
        <w:rPr>
          <w:rFonts w:ascii="Times New Roman" w:hAnsi="Times New Roman"/>
          <w:color w:val="404040"/>
          <w:sz w:val="24"/>
          <w:szCs w:val="24"/>
        </w:rPr>
        <w:t>Федеральной службы государственной статистики</w:t>
      </w:r>
      <w:r w:rsidR="00202674" w:rsidRPr="00CA0693">
        <w:rPr>
          <w:rFonts w:ascii="Times New Roman" w:hAnsi="Times New Roman"/>
          <w:color w:val="404040"/>
          <w:sz w:val="24"/>
          <w:szCs w:val="24"/>
        </w:rPr>
        <w:t xml:space="preserve"> (Росстат</w:t>
      </w:r>
      <w:r w:rsidRPr="00CA0693">
        <w:rPr>
          <w:rFonts w:ascii="Times New Roman" w:hAnsi="Times New Roman"/>
          <w:color w:val="404040"/>
          <w:sz w:val="24"/>
          <w:szCs w:val="24"/>
        </w:rPr>
        <w:t xml:space="preserve">, http://www.gks.ru); 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>Министерства строительства и жилищно-коммунального хозяйства Российской Федерации (Минстрой России</w:t>
      </w:r>
      <w:r w:rsidRPr="00CA0693">
        <w:rPr>
          <w:rFonts w:ascii="Times New Roman" w:hAnsi="Times New Roman"/>
          <w:color w:val="404040"/>
          <w:sz w:val="24"/>
          <w:szCs w:val="24"/>
        </w:rPr>
        <w:t>,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http://minstroyrf.ru</w:t>
      </w:r>
      <w:r w:rsidRPr="00CA0693">
        <w:rPr>
          <w:rFonts w:ascii="Times New Roman" w:hAnsi="Times New Roman"/>
          <w:color w:val="404040"/>
          <w:sz w:val="24"/>
          <w:szCs w:val="24"/>
        </w:rPr>
        <w:t xml:space="preserve">); </w:t>
      </w:r>
      <w:r w:rsidR="00F2636A" w:rsidRPr="00CA0693">
        <w:rPr>
          <w:rFonts w:ascii="Times New Roman" w:hAnsi="Times New Roman"/>
          <w:color w:val="404040"/>
          <w:sz w:val="24"/>
          <w:szCs w:val="24"/>
        </w:rPr>
        <w:t xml:space="preserve">Национального банка Украины </w:t>
      </w:r>
      <w:r w:rsidRPr="00CA0693">
        <w:rPr>
          <w:rFonts w:ascii="Times New Roman" w:hAnsi="Times New Roman"/>
          <w:color w:val="404040"/>
          <w:sz w:val="24"/>
          <w:szCs w:val="24"/>
        </w:rPr>
        <w:t xml:space="preserve">(http://www.bank.gov.ua); 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>Государственной служ</w:t>
      </w:r>
      <w:r w:rsidRPr="00CA0693">
        <w:rPr>
          <w:rFonts w:ascii="Times New Roman" w:hAnsi="Times New Roman"/>
          <w:color w:val="404040"/>
          <w:sz w:val="24"/>
          <w:szCs w:val="24"/>
        </w:rPr>
        <w:t>бы статистики Украины (</w:t>
      </w:r>
      <w:proofErr w:type="spellStart"/>
      <w:r w:rsidRPr="00CA0693">
        <w:rPr>
          <w:rFonts w:ascii="Times New Roman" w:hAnsi="Times New Roman"/>
          <w:color w:val="404040"/>
          <w:sz w:val="24"/>
          <w:szCs w:val="24"/>
        </w:rPr>
        <w:t>Госстат</w:t>
      </w:r>
      <w:proofErr w:type="spellEnd"/>
      <w:r w:rsidRPr="00CA0693">
        <w:rPr>
          <w:rFonts w:ascii="Times New Roman" w:hAnsi="Times New Roman"/>
          <w:color w:val="404040"/>
          <w:sz w:val="24"/>
          <w:szCs w:val="24"/>
        </w:rPr>
        <w:t>, http://www.ukrstat.gov.ua);</w:t>
      </w:r>
      <w:proofErr w:type="gramEnd"/>
      <w:r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Министерства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регионального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развития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строительства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и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жилищно-коммунального хозяйства Украи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>н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ы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 xml:space="preserve"> (</w:t>
      </w:r>
      <w:proofErr w:type="spellStart"/>
      <w:r w:rsidR="00FC27FE" w:rsidRPr="00CA0693">
        <w:rPr>
          <w:rFonts w:ascii="Times New Roman" w:hAnsi="Times New Roman"/>
          <w:color w:val="404040"/>
          <w:sz w:val="24"/>
          <w:szCs w:val="24"/>
        </w:rPr>
        <w:t>М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инреги</w:t>
      </w:r>
      <w:r w:rsidR="00FC27FE" w:rsidRPr="00CA0693">
        <w:rPr>
          <w:rFonts w:ascii="Times New Roman" w:hAnsi="Times New Roman"/>
          <w:color w:val="404040"/>
          <w:sz w:val="24"/>
          <w:szCs w:val="24"/>
        </w:rPr>
        <w:t>он</w:t>
      </w:r>
      <w:proofErr w:type="spellEnd"/>
      <w:r w:rsidRPr="00CA0693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="0000262E" w:rsidRPr="00CA0693">
        <w:rPr>
          <w:rFonts w:ascii="Times New Roman" w:hAnsi="Times New Roman"/>
          <w:color w:val="404040"/>
          <w:sz w:val="24"/>
          <w:szCs w:val="24"/>
        </w:rPr>
        <w:t>http://www.minregion.gov.ua</w:t>
      </w:r>
      <w:r w:rsidR="001D4D07">
        <w:rPr>
          <w:rFonts w:ascii="Times New Roman" w:hAnsi="Times New Roman"/>
          <w:color w:val="404040"/>
          <w:sz w:val="24"/>
          <w:szCs w:val="24"/>
        </w:rPr>
        <w:t>).</w:t>
      </w:r>
    </w:p>
    <w:p w:rsidR="000824F7" w:rsidRDefault="000824F7" w:rsidP="000824F7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Сборники</w:t>
      </w:r>
      <w:r w:rsidRPr="000824F7">
        <w:rPr>
          <w:rFonts w:ascii="Times New Roman" w:hAnsi="Times New Roman"/>
          <w:color w:val="404040"/>
          <w:sz w:val="24"/>
          <w:szCs w:val="24"/>
        </w:rPr>
        <w:t xml:space="preserve"> межрегионального информационно-аналитического бюллетеня "Индексы цен в строительстве" (издание ООО "КО-ИНВЕСТ").</w:t>
      </w:r>
    </w:p>
    <w:p w:rsidR="00CA0693" w:rsidRPr="00311166" w:rsidRDefault="00CA0693" w:rsidP="00CA0693">
      <w:pPr>
        <w:spacing w:after="0"/>
        <w:ind w:left="426"/>
        <w:jc w:val="both"/>
        <w:rPr>
          <w:rFonts w:ascii="Times New Roman" w:hAnsi="Times New Roman"/>
          <w:color w:val="404040"/>
          <w:sz w:val="10"/>
          <w:szCs w:val="10"/>
        </w:rPr>
      </w:pPr>
    </w:p>
    <w:sectPr w:rsidR="00CA0693" w:rsidRPr="00311166" w:rsidSect="008F064E">
      <w:footerReference w:type="default" r:id="rId16"/>
      <w:pgSz w:w="11906" w:h="16838"/>
      <w:pgMar w:top="709" w:right="850" w:bottom="709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74" w:rsidRDefault="00A32774" w:rsidP="00E7652C">
      <w:pPr>
        <w:spacing w:after="0" w:line="240" w:lineRule="auto"/>
      </w:pPr>
      <w:r>
        <w:separator/>
      </w:r>
    </w:p>
  </w:endnote>
  <w:endnote w:type="continuationSeparator" w:id="0">
    <w:p w:rsidR="00A32774" w:rsidRDefault="00A32774" w:rsidP="00E7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50" w:rsidRPr="00E7652C" w:rsidRDefault="003D5F50">
    <w:pPr>
      <w:pStyle w:val="a8"/>
      <w:jc w:val="right"/>
      <w:rPr>
        <w:rFonts w:ascii="Times New Roman" w:hAnsi="Times New Roman"/>
      </w:rPr>
    </w:pPr>
    <w:r w:rsidRPr="00E7652C">
      <w:rPr>
        <w:rFonts w:ascii="Times New Roman" w:hAnsi="Times New Roman"/>
      </w:rPr>
      <w:fldChar w:fldCharType="begin"/>
    </w:r>
    <w:r w:rsidRPr="00E7652C">
      <w:rPr>
        <w:rFonts w:ascii="Times New Roman" w:hAnsi="Times New Roman"/>
      </w:rPr>
      <w:instrText>PAGE   \* MERGEFORMAT</w:instrText>
    </w:r>
    <w:r w:rsidRPr="00E7652C">
      <w:rPr>
        <w:rFonts w:ascii="Times New Roman" w:hAnsi="Times New Roman"/>
      </w:rPr>
      <w:fldChar w:fldCharType="separate"/>
    </w:r>
    <w:r w:rsidR="0070788E">
      <w:rPr>
        <w:rFonts w:ascii="Times New Roman" w:hAnsi="Times New Roman"/>
        <w:noProof/>
      </w:rPr>
      <w:t>6</w:t>
    </w:r>
    <w:r w:rsidRPr="00E7652C">
      <w:rPr>
        <w:rFonts w:ascii="Times New Roman" w:hAnsi="Times New Roman"/>
      </w:rPr>
      <w:fldChar w:fldCharType="end"/>
    </w:r>
  </w:p>
  <w:p w:rsidR="003D5F50" w:rsidRDefault="003D5F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74" w:rsidRDefault="00A32774" w:rsidP="00E7652C">
      <w:pPr>
        <w:spacing w:after="0" w:line="240" w:lineRule="auto"/>
      </w:pPr>
      <w:r>
        <w:separator/>
      </w:r>
    </w:p>
  </w:footnote>
  <w:footnote w:type="continuationSeparator" w:id="0">
    <w:p w:rsidR="00A32774" w:rsidRDefault="00A32774" w:rsidP="00E7652C">
      <w:pPr>
        <w:spacing w:after="0" w:line="240" w:lineRule="auto"/>
      </w:pPr>
      <w:r>
        <w:continuationSeparator/>
      </w:r>
    </w:p>
  </w:footnote>
  <w:footnote w:id="1">
    <w:p w:rsidR="003D5F50" w:rsidRPr="00E575FD" w:rsidRDefault="003D5F50" w:rsidP="0080620E">
      <w:pPr>
        <w:pStyle w:val="ac"/>
        <w:ind w:left="142" w:hanging="142"/>
        <w:jc w:val="both"/>
        <w:rPr>
          <w:rFonts w:ascii="Times New Roman" w:hAnsi="Times New Roman"/>
          <w:color w:val="404040"/>
        </w:rPr>
      </w:pPr>
      <w:r w:rsidRPr="00E575FD">
        <w:rPr>
          <w:rStyle w:val="ae"/>
          <w:rFonts w:ascii="Times New Roman" w:hAnsi="Times New Roman"/>
          <w:color w:val="404040"/>
        </w:rPr>
        <w:footnoteRef/>
      </w:r>
      <w:r w:rsidRPr="00E575FD">
        <w:rPr>
          <w:rFonts w:ascii="Times New Roman" w:hAnsi="Times New Roman"/>
          <w:color w:val="404040"/>
        </w:rPr>
        <w:t xml:space="preserve"> Прим</w:t>
      </w:r>
      <w:r>
        <w:rPr>
          <w:rFonts w:ascii="Times New Roman" w:hAnsi="Times New Roman"/>
          <w:color w:val="404040"/>
        </w:rPr>
        <w:t>ечание</w:t>
      </w:r>
      <w:r w:rsidRPr="00E575FD">
        <w:rPr>
          <w:rFonts w:ascii="Times New Roman" w:hAnsi="Times New Roman"/>
          <w:color w:val="404040"/>
        </w:rPr>
        <w:t xml:space="preserve"> авторов:  денежная единица Украины – </w:t>
      </w:r>
      <w:proofErr w:type="spellStart"/>
      <w:r w:rsidRPr="0080620E">
        <w:rPr>
          <w:rFonts w:ascii="Times New Roman" w:hAnsi="Times New Roman"/>
          <w:i/>
          <w:color w:val="404040"/>
        </w:rPr>
        <w:t>гривня</w:t>
      </w:r>
      <w:proofErr w:type="spellEnd"/>
      <w:r w:rsidRPr="001928F7">
        <w:rPr>
          <w:rFonts w:ascii="Times New Roman" w:hAnsi="Times New Roman"/>
          <w:color w:val="404040"/>
        </w:rPr>
        <w:t xml:space="preserve"> </w:t>
      </w:r>
      <w:r w:rsidRPr="00E575FD">
        <w:rPr>
          <w:rFonts w:ascii="Times New Roman" w:hAnsi="Times New Roman"/>
          <w:color w:val="404040"/>
        </w:rPr>
        <w:t>(</w:t>
      </w:r>
      <w:r w:rsidRPr="007B4852">
        <w:rPr>
          <w:rFonts w:ascii="Times New Roman" w:hAnsi="Times New Roman"/>
          <w:color w:val="404040"/>
        </w:rPr>
        <w:t>согласно официальному переводу на русский язык ст. 99 Конституции Украины</w:t>
      </w:r>
      <w:r w:rsidRPr="00E575FD">
        <w:rPr>
          <w:rFonts w:ascii="Times New Roman" w:hAnsi="Times New Roman"/>
          <w:color w:val="404040"/>
        </w:rPr>
        <w:t xml:space="preserve">). Введена в финансово-хозяйственный </w:t>
      </w:r>
      <w:r w:rsidRPr="007B4852">
        <w:rPr>
          <w:rFonts w:ascii="Times New Roman" w:hAnsi="Times New Roman"/>
          <w:color w:val="404040"/>
        </w:rPr>
        <w:t xml:space="preserve">оборот </w:t>
      </w:r>
      <w:r>
        <w:rPr>
          <w:rFonts w:ascii="Times New Roman" w:hAnsi="Times New Roman"/>
          <w:color w:val="404040"/>
        </w:rPr>
        <w:t>со</w:t>
      </w:r>
      <w:r w:rsidRPr="007B4852">
        <w:rPr>
          <w:rFonts w:ascii="Times New Roman" w:hAnsi="Times New Roman"/>
          <w:color w:val="404040"/>
        </w:rPr>
        <w:t xml:space="preserve"> 02 сентября 1996 г.</w:t>
      </w:r>
      <w:r>
        <w:rPr>
          <w:rFonts w:ascii="Times New Roman" w:hAnsi="Times New Roman"/>
          <w:color w:val="404040"/>
        </w:rPr>
        <w:t xml:space="preserve"> Согласно рекомендациям Украинской комиссии по вопросам правовой терминологии,</w:t>
      </w:r>
      <w:r w:rsidRPr="007B4852">
        <w:rPr>
          <w:rFonts w:ascii="Times New Roman" w:hAnsi="Times New Roman"/>
          <w:color w:val="404040"/>
        </w:rPr>
        <w:t xml:space="preserve"> склон</w:t>
      </w:r>
      <w:r>
        <w:rPr>
          <w:rFonts w:ascii="Times New Roman" w:hAnsi="Times New Roman"/>
          <w:color w:val="404040"/>
        </w:rPr>
        <w:t>ение слова</w:t>
      </w:r>
      <w:r w:rsidRPr="007B4852">
        <w:rPr>
          <w:rFonts w:ascii="Times New Roman" w:hAnsi="Times New Roman"/>
          <w:color w:val="404040"/>
        </w:rPr>
        <w:t xml:space="preserve"> </w:t>
      </w:r>
      <w:proofErr w:type="spellStart"/>
      <w:r w:rsidRPr="007B4852">
        <w:rPr>
          <w:rFonts w:ascii="Times New Roman" w:hAnsi="Times New Roman"/>
          <w:i/>
          <w:color w:val="404040"/>
        </w:rPr>
        <w:t>гривня</w:t>
      </w:r>
      <w:proofErr w:type="spellEnd"/>
      <w:r w:rsidRPr="007B4852">
        <w:rPr>
          <w:rFonts w:ascii="Times New Roman" w:hAnsi="Times New Roman"/>
          <w:color w:val="404040"/>
        </w:rPr>
        <w:t xml:space="preserve"> </w:t>
      </w:r>
      <w:r>
        <w:rPr>
          <w:rFonts w:ascii="Times New Roman" w:hAnsi="Times New Roman"/>
          <w:color w:val="404040"/>
        </w:rPr>
        <w:t xml:space="preserve">следует осуществлять </w:t>
      </w:r>
      <w:r w:rsidRPr="007B4852">
        <w:rPr>
          <w:rFonts w:ascii="Times New Roman" w:hAnsi="Times New Roman"/>
          <w:color w:val="404040"/>
        </w:rPr>
        <w:t xml:space="preserve">по аналогии со словом </w:t>
      </w:r>
      <w:r w:rsidRPr="007B4852">
        <w:rPr>
          <w:rFonts w:ascii="Times New Roman" w:hAnsi="Times New Roman"/>
          <w:i/>
          <w:color w:val="404040"/>
        </w:rPr>
        <w:t>вишня.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FCF"/>
    <w:multiLevelType w:val="hybridMultilevel"/>
    <w:tmpl w:val="E09E9C1E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D"/>
    <w:rsid w:val="00000402"/>
    <w:rsid w:val="0000262E"/>
    <w:rsid w:val="00007013"/>
    <w:rsid w:val="00015464"/>
    <w:rsid w:val="000171C6"/>
    <w:rsid w:val="00024FEF"/>
    <w:rsid w:val="00026E37"/>
    <w:rsid w:val="00034E9D"/>
    <w:rsid w:val="00040F77"/>
    <w:rsid w:val="00044664"/>
    <w:rsid w:val="00050083"/>
    <w:rsid w:val="00050501"/>
    <w:rsid w:val="00053A1E"/>
    <w:rsid w:val="000578F8"/>
    <w:rsid w:val="0006276E"/>
    <w:rsid w:val="00067ABE"/>
    <w:rsid w:val="00067B1C"/>
    <w:rsid w:val="000705F3"/>
    <w:rsid w:val="00070799"/>
    <w:rsid w:val="00071850"/>
    <w:rsid w:val="00077BDB"/>
    <w:rsid w:val="000824F7"/>
    <w:rsid w:val="00085A3E"/>
    <w:rsid w:val="000943AC"/>
    <w:rsid w:val="000A0920"/>
    <w:rsid w:val="000A0CF7"/>
    <w:rsid w:val="000A12E9"/>
    <w:rsid w:val="000A15BD"/>
    <w:rsid w:val="000A1AAB"/>
    <w:rsid w:val="000A6382"/>
    <w:rsid w:val="000A6A67"/>
    <w:rsid w:val="000A719A"/>
    <w:rsid w:val="000B194C"/>
    <w:rsid w:val="000B7253"/>
    <w:rsid w:val="000C05A1"/>
    <w:rsid w:val="000C5E9B"/>
    <w:rsid w:val="000D4774"/>
    <w:rsid w:val="000D5D68"/>
    <w:rsid w:val="000D7195"/>
    <w:rsid w:val="000E0CD4"/>
    <w:rsid w:val="000E0D56"/>
    <w:rsid w:val="000E4949"/>
    <w:rsid w:val="000E7895"/>
    <w:rsid w:val="000F0545"/>
    <w:rsid w:val="000F11A3"/>
    <w:rsid w:val="000F2543"/>
    <w:rsid w:val="000F32B5"/>
    <w:rsid w:val="00107A5D"/>
    <w:rsid w:val="00107DE6"/>
    <w:rsid w:val="00110F43"/>
    <w:rsid w:val="001114E9"/>
    <w:rsid w:val="001126AF"/>
    <w:rsid w:val="001132C2"/>
    <w:rsid w:val="0011514E"/>
    <w:rsid w:val="00120ED3"/>
    <w:rsid w:val="00130BA0"/>
    <w:rsid w:val="00132183"/>
    <w:rsid w:val="00132E5A"/>
    <w:rsid w:val="00141D73"/>
    <w:rsid w:val="00141D81"/>
    <w:rsid w:val="001428EA"/>
    <w:rsid w:val="00145301"/>
    <w:rsid w:val="00147529"/>
    <w:rsid w:val="00151165"/>
    <w:rsid w:val="00151A60"/>
    <w:rsid w:val="00163080"/>
    <w:rsid w:val="00164438"/>
    <w:rsid w:val="00164E0E"/>
    <w:rsid w:val="0016618E"/>
    <w:rsid w:val="001673B8"/>
    <w:rsid w:val="001714E6"/>
    <w:rsid w:val="00172C86"/>
    <w:rsid w:val="00176D2B"/>
    <w:rsid w:val="001928F7"/>
    <w:rsid w:val="00194BDF"/>
    <w:rsid w:val="001A0DC8"/>
    <w:rsid w:val="001A6553"/>
    <w:rsid w:val="001B08D3"/>
    <w:rsid w:val="001B2D7B"/>
    <w:rsid w:val="001B58DA"/>
    <w:rsid w:val="001B74ED"/>
    <w:rsid w:val="001C422C"/>
    <w:rsid w:val="001C5A7A"/>
    <w:rsid w:val="001C5FA4"/>
    <w:rsid w:val="001D1880"/>
    <w:rsid w:val="001D4D07"/>
    <w:rsid w:val="001D67E4"/>
    <w:rsid w:val="001E1C7E"/>
    <w:rsid w:val="001E5A35"/>
    <w:rsid w:val="001F0B3E"/>
    <w:rsid w:val="00202674"/>
    <w:rsid w:val="002076A3"/>
    <w:rsid w:val="00213788"/>
    <w:rsid w:val="002141A4"/>
    <w:rsid w:val="00215572"/>
    <w:rsid w:val="00222074"/>
    <w:rsid w:val="0022320F"/>
    <w:rsid w:val="00224EDC"/>
    <w:rsid w:val="00233926"/>
    <w:rsid w:val="00235127"/>
    <w:rsid w:val="00236F29"/>
    <w:rsid w:val="002465DE"/>
    <w:rsid w:val="00253F36"/>
    <w:rsid w:val="00254503"/>
    <w:rsid w:val="00256CA5"/>
    <w:rsid w:val="002606B4"/>
    <w:rsid w:val="00264298"/>
    <w:rsid w:val="00271195"/>
    <w:rsid w:val="00271441"/>
    <w:rsid w:val="0027191A"/>
    <w:rsid w:val="00274F75"/>
    <w:rsid w:val="002811FC"/>
    <w:rsid w:val="00281F87"/>
    <w:rsid w:val="00284078"/>
    <w:rsid w:val="00287359"/>
    <w:rsid w:val="00292112"/>
    <w:rsid w:val="002951D7"/>
    <w:rsid w:val="00297C8D"/>
    <w:rsid w:val="002A1713"/>
    <w:rsid w:val="002A1F16"/>
    <w:rsid w:val="002A38D3"/>
    <w:rsid w:val="002B3660"/>
    <w:rsid w:val="002B38C1"/>
    <w:rsid w:val="002B676A"/>
    <w:rsid w:val="002B7C49"/>
    <w:rsid w:val="002C4BD6"/>
    <w:rsid w:val="002C5930"/>
    <w:rsid w:val="002D44A8"/>
    <w:rsid w:val="002E456F"/>
    <w:rsid w:val="002E4C7E"/>
    <w:rsid w:val="002E4D73"/>
    <w:rsid w:val="002E6A9D"/>
    <w:rsid w:val="00301F47"/>
    <w:rsid w:val="00310A1F"/>
    <w:rsid w:val="00311166"/>
    <w:rsid w:val="003126E8"/>
    <w:rsid w:val="00313A4A"/>
    <w:rsid w:val="003216C4"/>
    <w:rsid w:val="00322EC6"/>
    <w:rsid w:val="00337692"/>
    <w:rsid w:val="00340309"/>
    <w:rsid w:val="0034380B"/>
    <w:rsid w:val="00355803"/>
    <w:rsid w:val="00360B2D"/>
    <w:rsid w:val="00360C2B"/>
    <w:rsid w:val="00361D0D"/>
    <w:rsid w:val="00363489"/>
    <w:rsid w:val="00365B24"/>
    <w:rsid w:val="003709B2"/>
    <w:rsid w:val="003747FA"/>
    <w:rsid w:val="0037785B"/>
    <w:rsid w:val="003828F2"/>
    <w:rsid w:val="0039305B"/>
    <w:rsid w:val="00393B43"/>
    <w:rsid w:val="003943E5"/>
    <w:rsid w:val="00395E0E"/>
    <w:rsid w:val="0039739E"/>
    <w:rsid w:val="003A759C"/>
    <w:rsid w:val="003B1AC3"/>
    <w:rsid w:val="003B37C5"/>
    <w:rsid w:val="003C3BFF"/>
    <w:rsid w:val="003C7DA5"/>
    <w:rsid w:val="003D5F50"/>
    <w:rsid w:val="003E09AB"/>
    <w:rsid w:val="003E1A3B"/>
    <w:rsid w:val="003E2E6A"/>
    <w:rsid w:val="003E41F6"/>
    <w:rsid w:val="003E42ED"/>
    <w:rsid w:val="003E7B64"/>
    <w:rsid w:val="003F66E8"/>
    <w:rsid w:val="00401DE7"/>
    <w:rsid w:val="0040225A"/>
    <w:rsid w:val="00403B97"/>
    <w:rsid w:val="00403BE2"/>
    <w:rsid w:val="0041008E"/>
    <w:rsid w:val="00414005"/>
    <w:rsid w:val="00423CFC"/>
    <w:rsid w:val="00423EA7"/>
    <w:rsid w:val="004267BD"/>
    <w:rsid w:val="00435C35"/>
    <w:rsid w:val="004400AE"/>
    <w:rsid w:val="00447ABA"/>
    <w:rsid w:val="004512FE"/>
    <w:rsid w:val="004610AB"/>
    <w:rsid w:val="004618EF"/>
    <w:rsid w:val="00475274"/>
    <w:rsid w:val="00487D14"/>
    <w:rsid w:val="00492682"/>
    <w:rsid w:val="00495A0C"/>
    <w:rsid w:val="004A3D77"/>
    <w:rsid w:val="004A4520"/>
    <w:rsid w:val="004A51E4"/>
    <w:rsid w:val="004B5DF9"/>
    <w:rsid w:val="004C759E"/>
    <w:rsid w:val="004D1C0B"/>
    <w:rsid w:val="004D4996"/>
    <w:rsid w:val="004D6F34"/>
    <w:rsid w:val="004E63F1"/>
    <w:rsid w:val="004E6AA4"/>
    <w:rsid w:val="004F27F3"/>
    <w:rsid w:val="004F6815"/>
    <w:rsid w:val="004F683B"/>
    <w:rsid w:val="00500AE6"/>
    <w:rsid w:val="00500E6C"/>
    <w:rsid w:val="00503621"/>
    <w:rsid w:val="00522729"/>
    <w:rsid w:val="00523645"/>
    <w:rsid w:val="0052781F"/>
    <w:rsid w:val="00533F30"/>
    <w:rsid w:val="00541D6A"/>
    <w:rsid w:val="00542804"/>
    <w:rsid w:val="005468D7"/>
    <w:rsid w:val="00551FED"/>
    <w:rsid w:val="00563EF9"/>
    <w:rsid w:val="00573DFD"/>
    <w:rsid w:val="005764C1"/>
    <w:rsid w:val="005816FE"/>
    <w:rsid w:val="00583C09"/>
    <w:rsid w:val="00585F98"/>
    <w:rsid w:val="00587769"/>
    <w:rsid w:val="00592457"/>
    <w:rsid w:val="00592E56"/>
    <w:rsid w:val="005B02AF"/>
    <w:rsid w:val="005B4738"/>
    <w:rsid w:val="005D39D1"/>
    <w:rsid w:val="005D523E"/>
    <w:rsid w:val="005D5CB3"/>
    <w:rsid w:val="005D5D16"/>
    <w:rsid w:val="005D6C12"/>
    <w:rsid w:val="005D78E7"/>
    <w:rsid w:val="005E3404"/>
    <w:rsid w:val="005E7697"/>
    <w:rsid w:val="00601E57"/>
    <w:rsid w:val="0061286D"/>
    <w:rsid w:val="006167BE"/>
    <w:rsid w:val="0062094C"/>
    <w:rsid w:val="0062111F"/>
    <w:rsid w:val="006363CD"/>
    <w:rsid w:val="00644592"/>
    <w:rsid w:val="0065728B"/>
    <w:rsid w:val="006639EA"/>
    <w:rsid w:val="00674AFD"/>
    <w:rsid w:val="00682290"/>
    <w:rsid w:val="00686292"/>
    <w:rsid w:val="00691E09"/>
    <w:rsid w:val="00693FC6"/>
    <w:rsid w:val="006A700F"/>
    <w:rsid w:val="006C247F"/>
    <w:rsid w:val="006C670F"/>
    <w:rsid w:val="006D645A"/>
    <w:rsid w:val="006D7089"/>
    <w:rsid w:val="006E338F"/>
    <w:rsid w:val="006E3E1C"/>
    <w:rsid w:val="006F0A3A"/>
    <w:rsid w:val="006F7055"/>
    <w:rsid w:val="00704F4C"/>
    <w:rsid w:val="0070788E"/>
    <w:rsid w:val="00714BE7"/>
    <w:rsid w:val="007178BB"/>
    <w:rsid w:val="007224A4"/>
    <w:rsid w:val="00727517"/>
    <w:rsid w:val="007275E2"/>
    <w:rsid w:val="007316D3"/>
    <w:rsid w:val="00733E77"/>
    <w:rsid w:val="00741CBE"/>
    <w:rsid w:val="007453A8"/>
    <w:rsid w:val="0075026A"/>
    <w:rsid w:val="0075307E"/>
    <w:rsid w:val="007540F9"/>
    <w:rsid w:val="0075794A"/>
    <w:rsid w:val="00757965"/>
    <w:rsid w:val="007605A4"/>
    <w:rsid w:val="00764766"/>
    <w:rsid w:val="00770934"/>
    <w:rsid w:val="00771B23"/>
    <w:rsid w:val="00772FBD"/>
    <w:rsid w:val="00776136"/>
    <w:rsid w:val="00776A43"/>
    <w:rsid w:val="00781F76"/>
    <w:rsid w:val="007853AF"/>
    <w:rsid w:val="0078580C"/>
    <w:rsid w:val="00787524"/>
    <w:rsid w:val="00793751"/>
    <w:rsid w:val="007A15AC"/>
    <w:rsid w:val="007A34AF"/>
    <w:rsid w:val="007A6443"/>
    <w:rsid w:val="007B4439"/>
    <w:rsid w:val="007B4852"/>
    <w:rsid w:val="007C113B"/>
    <w:rsid w:val="007C3D7D"/>
    <w:rsid w:val="007C4F8A"/>
    <w:rsid w:val="007D5235"/>
    <w:rsid w:val="007E37F0"/>
    <w:rsid w:val="007F1F3B"/>
    <w:rsid w:val="007F573E"/>
    <w:rsid w:val="008009D9"/>
    <w:rsid w:val="00801204"/>
    <w:rsid w:val="0080620E"/>
    <w:rsid w:val="00807E96"/>
    <w:rsid w:val="00812AB1"/>
    <w:rsid w:val="0081308E"/>
    <w:rsid w:val="008241E9"/>
    <w:rsid w:val="00830A69"/>
    <w:rsid w:val="00836458"/>
    <w:rsid w:val="00842081"/>
    <w:rsid w:val="00842C88"/>
    <w:rsid w:val="00845C0A"/>
    <w:rsid w:val="00847F08"/>
    <w:rsid w:val="00855C4A"/>
    <w:rsid w:val="008730D7"/>
    <w:rsid w:val="00874076"/>
    <w:rsid w:val="00876ABB"/>
    <w:rsid w:val="00876AD3"/>
    <w:rsid w:val="00877ECC"/>
    <w:rsid w:val="00880C5C"/>
    <w:rsid w:val="00880C6A"/>
    <w:rsid w:val="008811F7"/>
    <w:rsid w:val="008822F1"/>
    <w:rsid w:val="0088327F"/>
    <w:rsid w:val="00883871"/>
    <w:rsid w:val="00883A8B"/>
    <w:rsid w:val="00884509"/>
    <w:rsid w:val="008869A5"/>
    <w:rsid w:val="0089097F"/>
    <w:rsid w:val="00891D3E"/>
    <w:rsid w:val="00893B07"/>
    <w:rsid w:val="008955DB"/>
    <w:rsid w:val="008B25F9"/>
    <w:rsid w:val="008B40C7"/>
    <w:rsid w:val="008B49B8"/>
    <w:rsid w:val="008B78CB"/>
    <w:rsid w:val="008C0646"/>
    <w:rsid w:val="008C1487"/>
    <w:rsid w:val="008C19D5"/>
    <w:rsid w:val="008C380C"/>
    <w:rsid w:val="008C5EE1"/>
    <w:rsid w:val="008D3702"/>
    <w:rsid w:val="008D4633"/>
    <w:rsid w:val="008D6662"/>
    <w:rsid w:val="008E0416"/>
    <w:rsid w:val="008E516F"/>
    <w:rsid w:val="008E7DDD"/>
    <w:rsid w:val="008F064E"/>
    <w:rsid w:val="008F7145"/>
    <w:rsid w:val="009048ED"/>
    <w:rsid w:val="00911D91"/>
    <w:rsid w:val="009133B9"/>
    <w:rsid w:val="0091788F"/>
    <w:rsid w:val="00922506"/>
    <w:rsid w:val="00926E8A"/>
    <w:rsid w:val="00927A44"/>
    <w:rsid w:val="00930D49"/>
    <w:rsid w:val="00932796"/>
    <w:rsid w:val="00935737"/>
    <w:rsid w:val="00942A37"/>
    <w:rsid w:val="0095296E"/>
    <w:rsid w:val="00955D85"/>
    <w:rsid w:val="00964F54"/>
    <w:rsid w:val="00983801"/>
    <w:rsid w:val="00991395"/>
    <w:rsid w:val="0099158D"/>
    <w:rsid w:val="00992209"/>
    <w:rsid w:val="00992A93"/>
    <w:rsid w:val="009C0F3B"/>
    <w:rsid w:val="009C0F50"/>
    <w:rsid w:val="009C2E82"/>
    <w:rsid w:val="009C3289"/>
    <w:rsid w:val="009D0BCE"/>
    <w:rsid w:val="009D4E62"/>
    <w:rsid w:val="009D6231"/>
    <w:rsid w:val="009E17BC"/>
    <w:rsid w:val="009E3962"/>
    <w:rsid w:val="009E4790"/>
    <w:rsid w:val="009F4FED"/>
    <w:rsid w:val="009F7C2A"/>
    <w:rsid w:val="00A0433F"/>
    <w:rsid w:val="00A060EA"/>
    <w:rsid w:val="00A10758"/>
    <w:rsid w:val="00A238BB"/>
    <w:rsid w:val="00A2425F"/>
    <w:rsid w:val="00A24D1D"/>
    <w:rsid w:val="00A25DC8"/>
    <w:rsid w:val="00A27277"/>
    <w:rsid w:val="00A30AC3"/>
    <w:rsid w:val="00A321C8"/>
    <w:rsid w:val="00A32774"/>
    <w:rsid w:val="00A45539"/>
    <w:rsid w:val="00A50BCD"/>
    <w:rsid w:val="00A51E45"/>
    <w:rsid w:val="00A5307B"/>
    <w:rsid w:val="00A53F11"/>
    <w:rsid w:val="00A5599D"/>
    <w:rsid w:val="00A55F06"/>
    <w:rsid w:val="00A56D22"/>
    <w:rsid w:val="00A6187E"/>
    <w:rsid w:val="00A6258A"/>
    <w:rsid w:val="00A72D9B"/>
    <w:rsid w:val="00A73D92"/>
    <w:rsid w:val="00A74094"/>
    <w:rsid w:val="00A75432"/>
    <w:rsid w:val="00A802BD"/>
    <w:rsid w:val="00A806CF"/>
    <w:rsid w:val="00A810BA"/>
    <w:rsid w:val="00A8157B"/>
    <w:rsid w:val="00A8441E"/>
    <w:rsid w:val="00A8622E"/>
    <w:rsid w:val="00AA1EF0"/>
    <w:rsid w:val="00AA3CE5"/>
    <w:rsid w:val="00AA694D"/>
    <w:rsid w:val="00AA7F60"/>
    <w:rsid w:val="00AB4DE1"/>
    <w:rsid w:val="00AB586C"/>
    <w:rsid w:val="00AB62DE"/>
    <w:rsid w:val="00AC1FA0"/>
    <w:rsid w:val="00AC4668"/>
    <w:rsid w:val="00AD234C"/>
    <w:rsid w:val="00AD5C84"/>
    <w:rsid w:val="00B01567"/>
    <w:rsid w:val="00B01A85"/>
    <w:rsid w:val="00B06B02"/>
    <w:rsid w:val="00B117B8"/>
    <w:rsid w:val="00B15E1B"/>
    <w:rsid w:val="00B2273F"/>
    <w:rsid w:val="00B312E6"/>
    <w:rsid w:val="00B3486F"/>
    <w:rsid w:val="00B504E9"/>
    <w:rsid w:val="00B53AA3"/>
    <w:rsid w:val="00B57F13"/>
    <w:rsid w:val="00B6014B"/>
    <w:rsid w:val="00B62246"/>
    <w:rsid w:val="00B65073"/>
    <w:rsid w:val="00B73850"/>
    <w:rsid w:val="00B82BE1"/>
    <w:rsid w:val="00B84BBC"/>
    <w:rsid w:val="00BA0484"/>
    <w:rsid w:val="00BA49A6"/>
    <w:rsid w:val="00BC0024"/>
    <w:rsid w:val="00BC4B3D"/>
    <w:rsid w:val="00BC7BCD"/>
    <w:rsid w:val="00BD453A"/>
    <w:rsid w:val="00BE6F57"/>
    <w:rsid w:val="00BE7B28"/>
    <w:rsid w:val="00C00C5C"/>
    <w:rsid w:val="00C01F5F"/>
    <w:rsid w:val="00C04DFA"/>
    <w:rsid w:val="00C077E1"/>
    <w:rsid w:val="00C113D8"/>
    <w:rsid w:val="00C15216"/>
    <w:rsid w:val="00C16EE7"/>
    <w:rsid w:val="00C22ADB"/>
    <w:rsid w:val="00C31D9C"/>
    <w:rsid w:val="00C32403"/>
    <w:rsid w:val="00C37EB3"/>
    <w:rsid w:val="00C40360"/>
    <w:rsid w:val="00C41E0D"/>
    <w:rsid w:val="00C51059"/>
    <w:rsid w:val="00C71886"/>
    <w:rsid w:val="00C752E9"/>
    <w:rsid w:val="00C756BF"/>
    <w:rsid w:val="00C76822"/>
    <w:rsid w:val="00C7684B"/>
    <w:rsid w:val="00C76CD4"/>
    <w:rsid w:val="00C87009"/>
    <w:rsid w:val="00C87DC6"/>
    <w:rsid w:val="00C914B5"/>
    <w:rsid w:val="00C92449"/>
    <w:rsid w:val="00C96F6A"/>
    <w:rsid w:val="00CA02B4"/>
    <w:rsid w:val="00CA0693"/>
    <w:rsid w:val="00CB0F85"/>
    <w:rsid w:val="00CB1A4B"/>
    <w:rsid w:val="00CB5EFA"/>
    <w:rsid w:val="00CC0509"/>
    <w:rsid w:val="00CC0B79"/>
    <w:rsid w:val="00CC62AB"/>
    <w:rsid w:val="00CC7398"/>
    <w:rsid w:val="00CD6CE1"/>
    <w:rsid w:val="00CE0EBA"/>
    <w:rsid w:val="00CE5E3E"/>
    <w:rsid w:val="00CE68B6"/>
    <w:rsid w:val="00CF3DE5"/>
    <w:rsid w:val="00D00FDD"/>
    <w:rsid w:val="00D017E5"/>
    <w:rsid w:val="00D02940"/>
    <w:rsid w:val="00D0659E"/>
    <w:rsid w:val="00D101F7"/>
    <w:rsid w:val="00D106C0"/>
    <w:rsid w:val="00D138F5"/>
    <w:rsid w:val="00D15F41"/>
    <w:rsid w:val="00D204E8"/>
    <w:rsid w:val="00D2090A"/>
    <w:rsid w:val="00D22E98"/>
    <w:rsid w:val="00D311FA"/>
    <w:rsid w:val="00D37868"/>
    <w:rsid w:val="00D40DFA"/>
    <w:rsid w:val="00D40E3F"/>
    <w:rsid w:val="00D4139C"/>
    <w:rsid w:val="00D414C8"/>
    <w:rsid w:val="00D44893"/>
    <w:rsid w:val="00D47869"/>
    <w:rsid w:val="00D51D05"/>
    <w:rsid w:val="00D52F2B"/>
    <w:rsid w:val="00D556C7"/>
    <w:rsid w:val="00D55817"/>
    <w:rsid w:val="00D601A8"/>
    <w:rsid w:val="00D60EA4"/>
    <w:rsid w:val="00D74760"/>
    <w:rsid w:val="00D90C92"/>
    <w:rsid w:val="00D93028"/>
    <w:rsid w:val="00D939C5"/>
    <w:rsid w:val="00D956F6"/>
    <w:rsid w:val="00D96F8E"/>
    <w:rsid w:val="00DA1210"/>
    <w:rsid w:val="00DB14E0"/>
    <w:rsid w:val="00DC2538"/>
    <w:rsid w:val="00DC40D6"/>
    <w:rsid w:val="00DC5D72"/>
    <w:rsid w:val="00DC6150"/>
    <w:rsid w:val="00DC6AE2"/>
    <w:rsid w:val="00DC7132"/>
    <w:rsid w:val="00DD65DE"/>
    <w:rsid w:val="00DD68CE"/>
    <w:rsid w:val="00DD69A4"/>
    <w:rsid w:val="00DF5326"/>
    <w:rsid w:val="00E052E8"/>
    <w:rsid w:val="00E07862"/>
    <w:rsid w:val="00E07F24"/>
    <w:rsid w:val="00E10772"/>
    <w:rsid w:val="00E1171D"/>
    <w:rsid w:val="00E163F2"/>
    <w:rsid w:val="00E22804"/>
    <w:rsid w:val="00E35595"/>
    <w:rsid w:val="00E40E3D"/>
    <w:rsid w:val="00E42FC3"/>
    <w:rsid w:val="00E43FDB"/>
    <w:rsid w:val="00E531C7"/>
    <w:rsid w:val="00E53DCD"/>
    <w:rsid w:val="00E575FD"/>
    <w:rsid w:val="00E60FF2"/>
    <w:rsid w:val="00E6213F"/>
    <w:rsid w:val="00E6664D"/>
    <w:rsid w:val="00E669E1"/>
    <w:rsid w:val="00E677F3"/>
    <w:rsid w:val="00E71F5F"/>
    <w:rsid w:val="00E74409"/>
    <w:rsid w:val="00E7652C"/>
    <w:rsid w:val="00E76743"/>
    <w:rsid w:val="00E809F8"/>
    <w:rsid w:val="00E85305"/>
    <w:rsid w:val="00E85525"/>
    <w:rsid w:val="00E86D97"/>
    <w:rsid w:val="00E979A6"/>
    <w:rsid w:val="00EA1C73"/>
    <w:rsid w:val="00EA397E"/>
    <w:rsid w:val="00EA42A4"/>
    <w:rsid w:val="00EA4EE0"/>
    <w:rsid w:val="00EA6F1B"/>
    <w:rsid w:val="00EB19C1"/>
    <w:rsid w:val="00EB5FA0"/>
    <w:rsid w:val="00EB7B62"/>
    <w:rsid w:val="00EC34B9"/>
    <w:rsid w:val="00EC39DF"/>
    <w:rsid w:val="00EC410E"/>
    <w:rsid w:val="00EC77AA"/>
    <w:rsid w:val="00EE657E"/>
    <w:rsid w:val="00EF49E7"/>
    <w:rsid w:val="00EF6DB2"/>
    <w:rsid w:val="00EF6E8E"/>
    <w:rsid w:val="00F00CE9"/>
    <w:rsid w:val="00F048C5"/>
    <w:rsid w:val="00F06111"/>
    <w:rsid w:val="00F14C32"/>
    <w:rsid w:val="00F173CA"/>
    <w:rsid w:val="00F21CA1"/>
    <w:rsid w:val="00F23A93"/>
    <w:rsid w:val="00F23FD6"/>
    <w:rsid w:val="00F2401B"/>
    <w:rsid w:val="00F2630F"/>
    <w:rsid w:val="00F2636A"/>
    <w:rsid w:val="00F30B78"/>
    <w:rsid w:val="00F32E8C"/>
    <w:rsid w:val="00F32F5E"/>
    <w:rsid w:val="00F33014"/>
    <w:rsid w:val="00F4251C"/>
    <w:rsid w:val="00F44169"/>
    <w:rsid w:val="00F4505D"/>
    <w:rsid w:val="00F45463"/>
    <w:rsid w:val="00F50447"/>
    <w:rsid w:val="00F52EA1"/>
    <w:rsid w:val="00F5469A"/>
    <w:rsid w:val="00F60A68"/>
    <w:rsid w:val="00F61CE5"/>
    <w:rsid w:val="00F65197"/>
    <w:rsid w:val="00F705A0"/>
    <w:rsid w:val="00F71492"/>
    <w:rsid w:val="00F77021"/>
    <w:rsid w:val="00F85986"/>
    <w:rsid w:val="00F901F2"/>
    <w:rsid w:val="00FA580B"/>
    <w:rsid w:val="00FB3EDB"/>
    <w:rsid w:val="00FB4539"/>
    <w:rsid w:val="00FB65DD"/>
    <w:rsid w:val="00FC1845"/>
    <w:rsid w:val="00FC27FE"/>
    <w:rsid w:val="00FC30BF"/>
    <w:rsid w:val="00FC5F14"/>
    <w:rsid w:val="00FD0A15"/>
    <w:rsid w:val="00FD2936"/>
    <w:rsid w:val="00FD5656"/>
    <w:rsid w:val="00FD63E8"/>
    <w:rsid w:val="00FE049B"/>
    <w:rsid w:val="00FE0D5C"/>
    <w:rsid w:val="00FE6669"/>
    <w:rsid w:val="00FE6750"/>
    <w:rsid w:val="00FF033C"/>
    <w:rsid w:val="00FF29C8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05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65DE"/>
  </w:style>
  <w:style w:type="paragraph" w:styleId="a6">
    <w:name w:val="header"/>
    <w:basedOn w:val="a"/>
    <w:link w:val="a7"/>
    <w:uiPriority w:val="99"/>
    <w:unhideWhenUsed/>
    <w:rsid w:val="00E7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2C"/>
  </w:style>
  <w:style w:type="paragraph" w:styleId="a8">
    <w:name w:val="footer"/>
    <w:basedOn w:val="a"/>
    <w:link w:val="a9"/>
    <w:uiPriority w:val="99"/>
    <w:unhideWhenUsed/>
    <w:rsid w:val="00E7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2C"/>
  </w:style>
  <w:style w:type="paragraph" w:styleId="aa">
    <w:name w:val="Normal (Web)"/>
    <w:basedOn w:val="a"/>
    <w:uiPriority w:val="99"/>
    <w:semiHidden/>
    <w:unhideWhenUsed/>
    <w:rsid w:val="0088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53A1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D719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0D7195"/>
    <w:rPr>
      <w:lang w:eastAsia="en-US"/>
    </w:rPr>
  </w:style>
  <w:style w:type="character" w:styleId="ae">
    <w:name w:val="footnote reference"/>
    <w:uiPriority w:val="99"/>
    <w:semiHidden/>
    <w:unhideWhenUsed/>
    <w:rsid w:val="000D7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05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65DE"/>
  </w:style>
  <w:style w:type="paragraph" w:styleId="a6">
    <w:name w:val="header"/>
    <w:basedOn w:val="a"/>
    <w:link w:val="a7"/>
    <w:uiPriority w:val="99"/>
    <w:unhideWhenUsed/>
    <w:rsid w:val="00E7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2C"/>
  </w:style>
  <w:style w:type="paragraph" w:styleId="a8">
    <w:name w:val="footer"/>
    <w:basedOn w:val="a"/>
    <w:link w:val="a9"/>
    <w:uiPriority w:val="99"/>
    <w:unhideWhenUsed/>
    <w:rsid w:val="00E7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2C"/>
  </w:style>
  <w:style w:type="paragraph" w:styleId="aa">
    <w:name w:val="Normal (Web)"/>
    <w:basedOn w:val="a"/>
    <w:uiPriority w:val="99"/>
    <w:semiHidden/>
    <w:unhideWhenUsed/>
    <w:rsid w:val="0088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53A1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D719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0D7195"/>
    <w:rPr>
      <w:lang w:eastAsia="en-US"/>
    </w:rPr>
  </w:style>
  <w:style w:type="character" w:styleId="ae">
    <w:name w:val="footnote reference"/>
    <w:uiPriority w:val="99"/>
    <w:semiHidden/>
    <w:unhideWhenUsed/>
    <w:rsid w:val="000D7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F3AA-614F-48F7-8D08-7E0B4FC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3</cp:revision>
  <dcterms:created xsi:type="dcterms:W3CDTF">2015-02-10T12:27:00Z</dcterms:created>
  <dcterms:modified xsi:type="dcterms:W3CDTF">2015-02-10T12:38:00Z</dcterms:modified>
</cp:coreProperties>
</file>