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rawings/drawing6.xml" ContentType="application/vnd.openxmlformats-officedocument.drawingml.chartshap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drawings/drawing3.xml" ContentType="application/vnd.openxmlformats-officedocument.drawingml.chartshapes+xml"/>
  <Override PartName="/word/charts/chart9.xml" ContentType="application/vnd.openxmlformats-officedocument.drawingml.chart+xml"/>
  <Override PartName="/word/drawings/drawing4.xml" ContentType="application/vnd.openxmlformats-officedocument.drawingml.chartshapes+xml"/>
  <Override PartName="/word/drawings/drawing5.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drawings/drawing1.xml" ContentType="application/vnd.openxmlformats-officedocument.drawingml.chartshapes+xml"/>
  <Override PartName="/word/charts/chart7.xml" ContentType="application/vnd.openxmlformats-officedocument.drawingml.chart+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Ind w:w="-252" w:type="dxa"/>
        <w:tblBorders>
          <w:bottom w:val="thickThinSmallGap" w:sz="24" w:space="0" w:color="auto"/>
          <w:insideH w:val="single" w:sz="4" w:space="0" w:color="auto"/>
          <w:insideV w:val="single" w:sz="4" w:space="0" w:color="auto"/>
        </w:tblBorders>
        <w:tblLook w:val="01E0"/>
      </w:tblPr>
      <w:tblGrid>
        <w:gridCol w:w="10440"/>
      </w:tblGrid>
      <w:tr w:rsidR="00A72FCC" w:rsidRPr="006E5F68" w:rsidTr="001F1FBF">
        <w:tc>
          <w:tcPr>
            <w:tcW w:w="10440" w:type="dxa"/>
            <w:tcBorders>
              <w:top w:val="nil"/>
              <w:bottom w:val="single" w:sz="8" w:space="0" w:color="auto"/>
            </w:tcBorders>
          </w:tcPr>
          <w:p w:rsidR="00A72FCC" w:rsidRPr="006E5F68" w:rsidRDefault="00A72FCC" w:rsidP="001F1FBF">
            <w:pPr>
              <w:autoSpaceDE w:val="0"/>
              <w:autoSpaceDN w:val="0"/>
              <w:adjustRightInd w:val="0"/>
              <w:jc w:val="center"/>
              <w:rPr>
                <w:b/>
                <w:bCs/>
                <w:color w:val="000000"/>
                <w:sz w:val="20"/>
                <w:szCs w:val="20"/>
              </w:rPr>
            </w:pPr>
            <w:r w:rsidRPr="00520B72">
              <w:rPr>
                <w:b/>
                <w:bCs/>
                <w:color w:val="000000"/>
                <w:sz w:val="20"/>
                <w:szCs w:val="20"/>
              </w:rPr>
              <w:t>ОБЩЕСТВО</w:t>
            </w:r>
            <w:r>
              <w:rPr>
                <w:b/>
                <w:bCs/>
                <w:color w:val="000000"/>
                <w:sz w:val="20"/>
                <w:szCs w:val="20"/>
              </w:rPr>
              <w:t xml:space="preserve"> С ОГРАНИЧЕННОЙ ОТВЕТСТВЕННОСТЬЮ</w:t>
            </w:r>
          </w:p>
          <w:p w:rsidR="00A72FCC" w:rsidRPr="006E5F68" w:rsidRDefault="00A72FCC" w:rsidP="001F1FBF">
            <w:pPr>
              <w:autoSpaceDE w:val="0"/>
              <w:autoSpaceDN w:val="0"/>
              <w:adjustRightInd w:val="0"/>
              <w:jc w:val="center"/>
              <w:rPr>
                <w:b/>
                <w:bCs/>
                <w:caps/>
                <w:color w:val="000000"/>
              </w:rPr>
            </w:pPr>
            <w:r w:rsidRPr="006E5F68">
              <w:rPr>
                <w:b/>
                <w:bCs/>
                <w:caps/>
                <w:color w:val="000000"/>
              </w:rPr>
              <w:t>«</w:t>
            </w:r>
            <w:r w:rsidRPr="006E5F68">
              <w:rPr>
                <w:b/>
                <w:bCs/>
                <w:color w:val="000000"/>
                <w:sz w:val="28"/>
                <w:szCs w:val="28"/>
              </w:rPr>
              <w:t>Центр содействия развитию малых предприятий</w:t>
            </w:r>
          </w:p>
          <w:p w:rsidR="00A72FCC" w:rsidRPr="006E5F68" w:rsidRDefault="00A72FCC" w:rsidP="001F1FBF">
            <w:pPr>
              <w:autoSpaceDE w:val="0"/>
              <w:autoSpaceDN w:val="0"/>
              <w:adjustRightInd w:val="0"/>
              <w:jc w:val="center"/>
              <w:rPr>
                <w:rFonts w:cs="Wingdings"/>
                <w:b/>
                <w:color w:val="000000"/>
                <w:sz w:val="48"/>
                <w:szCs w:val="48"/>
                <w:lang w:val="en-US"/>
              </w:rPr>
            </w:pPr>
            <w:r w:rsidRPr="006E5F68">
              <w:rPr>
                <w:b/>
                <w:color w:val="000000"/>
                <w:sz w:val="48"/>
                <w:szCs w:val="48"/>
              </w:rPr>
              <w:t>«</w:t>
            </w:r>
            <w:r w:rsidRPr="006E5F68">
              <w:rPr>
                <w:rFonts w:cs="Wingdings"/>
                <w:b/>
                <w:color w:val="000000"/>
                <w:sz w:val="48"/>
                <w:szCs w:val="48"/>
              </w:rPr>
              <w:t>ИЛЕКТА</w:t>
            </w:r>
            <w:r w:rsidRPr="006E5F68">
              <w:rPr>
                <w:b/>
                <w:color w:val="000000"/>
                <w:sz w:val="48"/>
                <w:szCs w:val="48"/>
              </w:rPr>
              <w:t>»</w:t>
            </w:r>
          </w:p>
        </w:tc>
      </w:tr>
      <w:tr w:rsidR="00A72FCC" w:rsidRPr="006E5F68" w:rsidTr="001F1FBF">
        <w:tc>
          <w:tcPr>
            <w:tcW w:w="10440" w:type="dxa"/>
            <w:tcBorders>
              <w:top w:val="single" w:sz="8" w:space="0" w:color="auto"/>
              <w:bottom w:val="thinThickSmallGap" w:sz="12" w:space="0" w:color="auto"/>
            </w:tcBorders>
          </w:tcPr>
          <w:p w:rsidR="00A72FCC" w:rsidRPr="0010756F" w:rsidRDefault="00A72FCC" w:rsidP="001F1FBF">
            <w:pPr>
              <w:autoSpaceDE w:val="0"/>
              <w:autoSpaceDN w:val="0"/>
              <w:adjustRightInd w:val="0"/>
              <w:jc w:val="center"/>
              <w:rPr>
                <w:i/>
                <w:color w:val="000000"/>
                <w:sz w:val="22"/>
                <w:szCs w:val="22"/>
              </w:rPr>
            </w:pPr>
            <w:r>
              <w:rPr>
                <w:color w:val="000000"/>
                <w:sz w:val="22"/>
                <w:szCs w:val="22"/>
              </w:rPr>
              <w:t xml:space="preserve">Россия, </w:t>
            </w:r>
            <w:smartTag w:uri="urn:schemas-microsoft-com:office:smarttags" w:element="metricconverter">
              <w:smartTagPr>
                <w:attr w:name="ProductID" w:val="355029, г"/>
              </w:smartTagPr>
              <w:r>
                <w:rPr>
                  <w:color w:val="000000"/>
                  <w:sz w:val="22"/>
                  <w:szCs w:val="22"/>
                </w:rPr>
                <w:t>355029, г</w:t>
              </w:r>
            </w:smartTag>
            <w:r>
              <w:rPr>
                <w:color w:val="000000"/>
                <w:sz w:val="22"/>
                <w:szCs w:val="22"/>
              </w:rPr>
              <w:t xml:space="preserve">. Ставрополь, ул. Мира 460/3, </w:t>
            </w:r>
            <w:proofErr w:type="spellStart"/>
            <w:r>
              <w:rPr>
                <w:color w:val="000000"/>
                <w:sz w:val="22"/>
                <w:szCs w:val="22"/>
              </w:rPr>
              <w:t>оф</w:t>
            </w:r>
            <w:proofErr w:type="spellEnd"/>
            <w:r>
              <w:rPr>
                <w:color w:val="000000"/>
                <w:sz w:val="22"/>
                <w:szCs w:val="22"/>
              </w:rPr>
              <w:t xml:space="preserve">. 1/1 Тел./факс: </w:t>
            </w:r>
            <w:r w:rsidRPr="0010756F">
              <w:rPr>
                <w:color w:val="000000"/>
                <w:sz w:val="22"/>
                <w:szCs w:val="22"/>
              </w:rPr>
              <w:t xml:space="preserve">(8652) 56-55-33, </w:t>
            </w:r>
            <w:r>
              <w:rPr>
                <w:color w:val="000000"/>
                <w:sz w:val="22"/>
                <w:szCs w:val="22"/>
              </w:rPr>
              <w:t>94-59-67</w:t>
            </w:r>
            <w:r w:rsidRPr="0010756F">
              <w:rPr>
                <w:color w:val="000000"/>
                <w:sz w:val="22"/>
                <w:szCs w:val="22"/>
              </w:rPr>
              <w:br/>
            </w:r>
            <w:r w:rsidRPr="006E5F68">
              <w:rPr>
                <w:i/>
                <w:color w:val="000000"/>
                <w:sz w:val="22"/>
                <w:szCs w:val="22"/>
                <w:lang w:val="en-US"/>
              </w:rPr>
              <w:t>www</w:t>
            </w:r>
            <w:r w:rsidRPr="0010756F">
              <w:rPr>
                <w:i/>
                <w:color w:val="000000"/>
                <w:sz w:val="22"/>
                <w:szCs w:val="22"/>
              </w:rPr>
              <w:t>.</w:t>
            </w:r>
            <w:proofErr w:type="spellStart"/>
            <w:r w:rsidRPr="006E5F68">
              <w:rPr>
                <w:i/>
                <w:color w:val="000000"/>
                <w:sz w:val="22"/>
                <w:szCs w:val="22"/>
                <w:lang w:val="en-US"/>
              </w:rPr>
              <w:t>ilecta</w:t>
            </w:r>
            <w:proofErr w:type="spellEnd"/>
            <w:r w:rsidRPr="0010756F">
              <w:rPr>
                <w:i/>
                <w:color w:val="000000"/>
                <w:sz w:val="22"/>
                <w:szCs w:val="22"/>
              </w:rPr>
              <w:t>.</w:t>
            </w:r>
            <w:proofErr w:type="spellStart"/>
            <w:r w:rsidRPr="006E5F68">
              <w:rPr>
                <w:i/>
                <w:color w:val="000000"/>
                <w:sz w:val="22"/>
                <w:szCs w:val="22"/>
                <w:lang w:val="en-US"/>
              </w:rPr>
              <w:t>ru</w:t>
            </w:r>
            <w:proofErr w:type="spellEnd"/>
            <w:r>
              <w:rPr>
                <w:i/>
                <w:color w:val="000000"/>
                <w:sz w:val="22"/>
                <w:szCs w:val="22"/>
              </w:rPr>
              <w:t>,</w:t>
            </w:r>
            <w:r w:rsidRPr="0010756F">
              <w:rPr>
                <w:i/>
                <w:color w:val="000000"/>
                <w:sz w:val="22"/>
                <w:szCs w:val="22"/>
              </w:rPr>
              <w:t xml:space="preserve"> </w:t>
            </w:r>
            <w:r w:rsidRPr="006E5F68">
              <w:rPr>
                <w:i/>
                <w:color w:val="000000"/>
                <w:sz w:val="22"/>
                <w:szCs w:val="22"/>
                <w:lang w:val="en-US"/>
              </w:rPr>
              <w:t>e</w:t>
            </w:r>
            <w:r w:rsidRPr="0010756F">
              <w:rPr>
                <w:i/>
                <w:color w:val="000000"/>
                <w:sz w:val="22"/>
                <w:szCs w:val="22"/>
              </w:rPr>
              <w:t>-</w:t>
            </w:r>
            <w:r w:rsidRPr="0010756F">
              <w:rPr>
                <w:i/>
                <w:color w:val="000000"/>
                <w:sz w:val="22"/>
                <w:szCs w:val="22"/>
                <w:lang w:val="en-US"/>
              </w:rPr>
              <w:t>mail</w:t>
            </w:r>
            <w:r w:rsidRPr="0010756F">
              <w:rPr>
                <w:i/>
                <w:color w:val="000000"/>
                <w:sz w:val="22"/>
                <w:szCs w:val="22"/>
              </w:rPr>
              <w:t xml:space="preserve">: </w:t>
            </w:r>
            <w:proofErr w:type="spellStart"/>
            <w:r w:rsidRPr="0010756F">
              <w:rPr>
                <w:i/>
                <w:color w:val="000000"/>
                <w:sz w:val="22"/>
                <w:szCs w:val="22"/>
                <w:lang w:val="en-US"/>
              </w:rPr>
              <w:t>ilecta</w:t>
            </w:r>
            <w:proofErr w:type="spellEnd"/>
            <w:r w:rsidRPr="0010756F">
              <w:rPr>
                <w:i/>
                <w:color w:val="000000"/>
                <w:sz w:val="22"/>
                <w:szCs w:val="22"/>
              </w:rPr>
              <w:t>1@</w:t>
            </w:r>
            <w:proofErr w:type="spellStart"/>
            <w:r w:rsidRPr="00A0064E">
              <w:rPr>
                <w:i/>
                <w:color w:val="000000"/>
                <w:sz w:val="22"/>
                <w:szCs w:val="22"/>
                <w:lang w:val="en-US"/>
              </w:rPr>
              <w:t>yandex</w:t>
            </w:r>
            <w:proofErr w:type="spellEnd"/>
            <w:r w:rsidRPr="0010756F">
              <w:rPr>
                <w:i/>
                <w:color w:val="000000"/>
                <w:sz w:val="22"/>
                <w:szCs w:val="22"/>
              </w:rPr>
              <w:t>.</w:t>
            </w:r>
            <w:proofErr w:type="spellStart"/>
            <w:r w:rsidRPr="00A0064E">
              <w:rPr>
                <w:i/>
                <w:color w:val="000000"/>
                <w:sz w:val="22"/>
                <w:szCs w:val="22"/>
                <w:lang w:val="en-US"/>
              </w:rPr>
              <w:t>ru</w:t>
            </w:r>
            <w:proofErr w:type="spellEnd"/>
          </w:p>
          <w:p w:rsidR="00A72FCC" w:rsidRPr="006E5F68" w:rsidRDefault="00A72FCC" w:rsidP="001F1FBF">
            <w:pPr>
              <w:autoSpaceDE w:val="0"/>
              <w:autoSpaceDN w:val="0"/>
              <w:adjustRightInd w:val="0"/>
              <w:jc w:val="center"/>
              <w:rPr>
                <w:color w:val="000000"/>
                <w:sz w:val="22"/>
                <w:szCs w:val="22"/>
              </w:rPr>
            </w:pPr>
            <w:r w:rsidRPr="00520B72">
              <w:rPr>
                <w:color w:val="000000"/>
                <w:sz w:val="20"/>
                <w:szCs w:val="20"/>
              </w:rPr>
              <w:t>ИНН/КПП 2635</w:t>
            </w:r>
            <w:r>
              <w:rPr>
                <w:color w:val="000000"/>
                <w:sz w:val="20"/>
                <w:szCs w:val="20"/>
              </w:rPr>
              <w:t>208566</w:t>
            </w:r>
            <w:r w:rsidRPr="00520B72">
              <w:rPr>
                <w:color w:val="000000"/>
                <w:sz w:val="20"/>
                <w:szCs w:val="20"/>
              </w:rPr>
              <w:t>/</w:t>
            </w:r>
            <w:r w:rsidRPr="00520B72">
              <w:rPr>
                <w:snapToGrid w:val="0"/>
                <w:sz w:val="20"/>
                <w:szCs w:val="20"/>
              </w:rPr>
              <w:t>263501001</w:t>
            </w:r>
            <w:r w:rsidRPr="00520B72">
              <w:rPr>
                <w:color w:val="000000"/>
                <w:sz w:val="20"/>
                <w:szCs w:val="20"/>
              </w:rPr>
              <w:t xml:space="preserve">, ОКПО 10261523, ОГРН </w:t>
            </w:r>
            <w:r>
              <w:rPr>
                <w:color w:val="000000"/>
                <w:sz w:val="20"/>
                <w:szCs w:val="20"/>
              </w:rPr>
              <w:t>1152651006034</w:t>
            </w:r>
          </w:p>
        </w:tc>
      </w:tr>
    </w:tbl>
    <w:p w:rsidR="00D74008" w:rsidRPr="001241F1" w:rsidRDefault="00D74008" w:rsidP="001241F1">
      <w:pPr>
        <w:jc w:val="center"/>
      </w:pPr>
    </w:p>
    <w:p w:rsidR="00D74008" w:rsidRPr="00AC038D" w:rsidRDefault="00D74008" w:rsidP="001241F1">
      <w:pPr>
        <w:jc w:val="center"/>
        <w:outlineLvl w:val="1"/>
        <w:rPr>
          <w:b/>
          <w:color w:val="FF0000"/>
          <w:sz w:val="28"/>
          <w:szCs w:val="28"/>
        </w:rPr>
      </w:pPr>
      <w:bookmarkStart w:id="0" w:name="_Toc241325449"/>
      <w:r w:rsidRPr="00386637">
        <w:rPr>
          <w:b/>
          <w:sz w:val="28"/>
          <w:szCs w:val="28"/>
        </w:rPr>
        <w:t xml:space="preserve">Анализ </w:t>
      </w:r>
      <w:r>
        <w:rPr>
          <w:b/>
          <w:sz w:val="28"/>
          <w:szCs w:val="28"/>
        </w:rPr>
        <w:t>рынка</w:t>
      </w:r>
      <w:r w:rsidRPr="00386637">
        <w:rPr>
          <w:b/>
          <w:sz w:val="28"/>
          <w:szCs w:val="28"/>
        </w:rPr>
        <w:t xml:space="preserve"> </w:t>
      </w:r>
      <w:r>
        <w:rPr>
          <w:b/>
          <w:sz w:val="28"/>
          <w:szCs w:val="28"/>
        </w:rPr>
        <w:t>торговой</w:t>
      </w:r>
      <w:r w:rsidRPr="00386637">
        <w:rPr>
          <w:b/>
          <w:sz w:val="28"/>
          <w:szCs w:val="28"/>
        </w:rPr>
        <w:t xml:space="preserve"> </w:t>
      </w:r>
      <w:r>
        <w:rPr>
          <w:b/>
          <w:sz w:val="28"/>
          <w:szCs w:val="28"/>
        </w:rPr>
        <w:t xml:space="preserve">недвижимости </w:t>
      </w:r>
      <w:proofErr w:type="gramStart"/>
      <w:r>
        <w:rPr>
          <w:b/>
          <w:sz w:val="28"/>
          <w:szCs w:val="28"/>
        </w:rPr>
        <w:t>г</w:t>
      </w:r>
      <w:proofErr w:type="gramEnd"/>
      <w:r>
        <w:rPr>
          <w:b/>
          <w:sz w:val="28"/>
          <w:szCs w:val="28"/>
        </w:rPr>
        <w:t>. Ставрополь (</w:t>
      </w:r>
      <w:r w:rsidR="00E718BA">
        <w:rPr>
          <w:b/>
          <w:sz w:val="28"/>
          <w:szCs w:val="28"/>
        </w:rPr>
        <w:t xml:space="preserve">в период с 01 января </w:t>
      </w:r>
      <w:r w:rsidR="00D109E1">
        <w:rPr>
          <w:b/>
          <w:sz w:val="28"/>
          <w:szCs w:val="28"/>
        </w:rPr>
        <w:t>2009 по 31</w:t>
      </w:r>
      <w:r w:rsidR="009A518F">
        <w:rPr>
          <w:b/>
          <w:sz w:val="28"/>
          <w:szCs w:val="28"/>
        </w:rPr>
        <w:t xml:space="preserve"> </w:t>
      </w:r>
      <w:r w:rsidR="00D109E1">
        <w:rPr>
          <w:b/>
          <w:sz w:val="28"/>
          <w:szCs w:val="28"/>
        </w:rPr>
        <w:t>марта</w:t>
      </w:r>
      <w:r w:rsidR="00E206C4">
        <w:rPr>
          <w:b/>
          <w:sz w:val="28"/>
          <w:szCs w:val="28"/>
        </w:rPr>
        <w:t xml:space="preserve"> 2020</w:t>
      </w:r>
      <w:r w:rsidRPr="00922DAD">
        <w:rPr>
          <w:b/>
          <w:sz w:val="28"/>
          <w:szCs w:val="28"/>
        </w:rPr>
        <w:t xml:space="preserve"> г.</w:t>
      </w:r>
      <w:bookmarkEnd w:id="0"/>
      <w:r w:rsidRPr="00922DAD">
        <w:rPr>
          <w:b/>
          <w:sz w:val="28"/>
          <w:szCs w:val="28"/>
        </w:rPr>
        <w:t>)</w:t>
      </w:r>
      <w:r w:rsidRPr="00922DAD">
        <w:rPr>
          <w:rStyle w:val="a6"/>
          <w:b/>
          <w:sz w:val="28"/>
          <w:szCs w:val="28"/>
        </w:rPr>
        <w:footnoteReference w:customMarkFollows="1" w:id="1"/>
        <w:t>*</w:t>
      </w:r>
    </w:p>
    <w:p w:rsidR="00D74008" w:rsidRPr="00AC038D" w:rsidRDefault="00D74008" w:rsidP="001241F1">
      <w:pPr>
        <w:jc w:val="center"/>
        <w:outlineLvl w:val="1"/>
        <w:rPr>
          <w:color w:val="FF0000"/>
        </w:rPr>
      </w:pPr>
    </w:p>
    <w:p w:rsidR="00D74008" w:rsidRDefault="00D74008" w:rsidP="00D74008">
      <w:pPr>
        <w:ind w:firstLine="709"/>
        <w:jc w:val="both"/>
      </w:pPr>
      <w:r w:rsidRPr="00221A08">
        <w:t>Данный анализ проведен с целью определения реальной ситуации на рынке коммерческой недвижимости. Он выполнен на основе данных предложений продажи и аренды в настоящий момент наиболее полных и достоверных источников информации о рынке коммерческой недвижимости</w:t>
      </w:r>
      <w:r>
        <w:t>.</w:t>
      </w:r>
      <w:r w:rsidRPr="00221A08">
        <w:t xml:space="preserve"> </w:t>
      </w:r>
    </w:p>
    <w:p w:rsidR="00D74008" w:rsidRPr="00221A08" w:rsidRDefault="00D74008" w:rsidP="00D74008">
      <w:pPr>
        <w:ind w:firstLine="709"/>
        <w:jc w:val="both"/>
      </w:pPr>
      <w:r w:rsidRPr="00221A08">
        <w:t>Наиболее существенное влияние на рын</w:t>
      </w:r>
      <w:r>
        <w:t>ок недвижимости</w:t>
      </w:r>
      <w:r w:rsidRPr="00221A08">
        <w:t xml:space="preserve"> оказывают такие </w:t>
      </w:r>
      <w:proofErr w:type="spellStart"/>
      <w:r w:rsidRPr="00221A08">
        <w:t>ценообразующие</w:t>
      </w:r>
      <w:proofErr w:type="spellEnd"/>
      <w:r w:rsidRPr="00221A08">
        <w:t xml:space="preserve"> факторы как:</w:t>
      </w:r>
    </w:p>
    <w:p w:rsidR="00D74008" w:rsidRPr="00221A08" w:rsidRDefault="00D74008" w:rsidP="00D74008">
      <w:pPr>
        <w:ind w:firstLine="709"/>
        <w:jc w:val="both"/>
      </w:pPr>
      <w:r w:rsidRPr="00221A08">
        <w:t xml:space="preserve">а) объективные факторы – это экономические факторы, которые определяют средний уровень цен конкретных сделок субъектами недвижимости. </w:t>
      </w:r>
      <w:proofErr w:type="gramStart"/>
      <w:r w:rsidRPr="00221A08">
        <w:t>Их можно подразделить на макроэкономические (факторы, связанные с общей конъюнктурой рынка –</w:t>
      </w:r>
      <w:r>
        <w:t xml:space="preserve"> </w:t>
      </w:r>
      <w:r w:rsidRPr="00221A08">
        <w:t>налоги, пошлины, динамика курса доллара, инфляция, безработица, уровень и условия оплаты труда, потребность в объектах недвижимости, развитие внешнеэкономической деятельности и т.д.) и микроэкономические (факторы, характеризующие объективные параметры конкретных сделок);</w:t>
      </w:r>
      <w:proofErr w:type="gramEnd"/>
    </w:p>
    <w:p w:rsidR="00D74008" w:rsidRPr="00221A08" w:rsidRDefault="00D74008" w:rsidP="00D74008">
      <w:pPr>
        <w:ind w:firstLine="709"/>
        <w:jc w:val="both"/>
      </w:pPr>
      <w:r w:rsidRPr="00221A08">
        <w:t>б) физические факторы – местонахождение (удаленность от центра, степень развития инфраструктуры и транспортного сообщения, архитектурно-</w:t>
      </w:r>
      <w:proofErr w:type="gramStart"/>
      <w:r w:rsidRPr="00221A08">
        <w:t>конструктивные решения</w:t>
      </w:r>
      <w:proofErr w:type="gramEnd"/>
      <w:r w:rsidRPr="00221A08">
        <w:t>, состояние объекта недвижимости, наличие коммуникаций</w:t>
      </w:r>
      <w:r>
        <w:t>)</w:t>
      </w:r>
      <w:r w:rsidRPr="00221A08">
        <w:t>;</w:t>
      </w:r>
    </w:p>
    <w:p w:rsidR="00D74008" w:rsidRPr="00221A08" w:rsidRDefault="00D74008" w:rsidP="00D74008">
      <w:pPr>
        <w:ind w:firstLine="709"/>
        <w:jc w:val="both"/>
      </w:pPr>
      <w:proofErr w:type="gramStart"/>
      <w:r w:rsidRPr="00221A08">
        <w:t>в) факторы, влияющие на скорость продажи – количество аналогичных предложений, их соотношение со спросом именно в этой части города, характер сделки («прямая» или «встречная» продажа)</w:t>
      </w:r>
      <w:r w:rsidR="00022AC9">
        <w:t>, юридическая «чистота» объекта;</w:t>
      </w:r>
      <w:proofErr w:type="gramEnd"/>
    </w:p>
    <w:p w:rsidR="00D74008" w:rsidRPr="00221A08" w:rsidRDefault="00D74008" w:rsidP="00D74008">
      <w:pPr>
        <w:ind w:firstLine="709"/>
        <w:jc w:val="both"/>
      </w:pPr>
      <w:r w:rsidRPr="00221A08">
        <w:t>г) факторы, связанные с феноменом массового сознания и факторы психологического характера (реклама, инфляционные ожидания, си</w:t>
      </w:r>
      <w:r w:rsidR="00022AC9">
        <w:t>мпатии, осведомленность и т.д.).</w:t>
      </w:r>
    </w:p>
    <w:p w:rsidR="00D74008" w:rsidRPr="0012069D" w:rsidRDefault="00D74008" w:rsidP="00D74008">
      <w:pPr>
        <w:ind w:firstLine="709"/>
        <w:jc w:val="both"/>
      </w:pPr>
      <w:proofErr w:type="gramStart"/>
      <w:r w:rsidRPr="0012069D">
        <w:t>Коммерческая недвижимость по функциональному назначению может быть классифицирована на торговую, офисную и производственно-складскую</w:t>
      </w:r>
      <w:r w:rsidR="00B56402" w:rsidRPr="0012069D">
        <w:t xml:space="preserve"> </w:t>
      </w:r>
      <w:r w:rsidR="00B56402" w:rsidRPr="0012069D">
        <w:rPr>
          <w:color w:val="000000"/>
        </w:rPr>
        <w:t>(в соответствии с общепринятой классификацией профессиональных операторов рынка недвижимости)</w:t>
      </w:r>
      <w:r w:rsidRPr="0012069D">
        <w:t>.</w:t>
      </w:r>
      <w:proofErr w:type="gramEnd"/>
    </w:p>
    <w:p w:rsidR="00386D19" w:rsidRPr="0012069D" w:rsidRDefault="00386D19" w:rsidP="00386D19">
      <w:pPr>
        <w:ind w:firstLine="709"/>
        <w:jc w:val="both"/>
      </w:pPr>
      <w:r w:rsidRPr="0012069D">
        <w:t>В стоимость 1 кв</w:t>
      </w:r>
      <w:proofErr w:type="gramStart"/>
      <w:r w:rsidRPr="0012069D">
        <w:t>.м</w:t>
      </w:r>
      <w:proofErr w:type="gramEnd"/>
      <w:r w:rsidRPr="0012069D">
        <w:t xml:space="preserve"> исследуемых объектов строительства включена стоимость права на земельный участок в тех случаях, когда к продаже предлагается отдельно стоящее здание (комплекс зданий).</w:t>
      </w:r>
    </w:p>
    <w:p w:rsidR="00B56402" w:rsidRDefault="00B56402" w:rsidP="00386D19">
      <w:pPr>
        <w:ind w:firstLine="709"/>
        <w:jc w:val="both"/>
      </w:pPr>
      <w:r w:rsidRPr="0012069D">
        <w:t>На рынке недвижимости существует практика взимания арендной платы за всю общую площадь предлагаемых зданий и помещений. Так, большинство предлагаемых в аренду помещений до 50 кв</w:t>
      </w:r>
      <w:proofErr w:type="gramStart"/>
      <w:r w:rsidRPr="0012069D">
        <w:t>.м</w:t>
      </w:r>
      <w:proofErr w:type="gramEnd"/>
      <w:r w:rsidRPr="0012069D">
        <w:t xml:space="preserve"> представляют собой основные площади, не включающие вспомогательные площади (коридоры, с/у и пр.), а аналогичные объекты площадью более 50 кв.м уже включают в себя вспомогательные площади, т.е. фактически предлагаются общие площади, что </w:t>
      </w:r>
      <w:proofErr w:type="spellStart"/>
      <w:r w:rsidRPr="0012069D">
        <w:t>коррелирует</w:t>
      </w:r>
      <w:proofErr w:type="spellEnd"/>
      <w:r w:rsidRPr="0012069D">
        <w:t xml:space="preserve"> с данными ставропольских </w:t>
      </w:r>
      <w:proofErr w:type="spellStart"/>
      <w:r w:rsidRPr="0012069D">
        <w:t>риэлтеров</w:t>
      </w:r>
      <w:proofErr w:type="spellEnd"/>
      <w:r w:rsidRPr="0012069D">
        <w:t>.</w:t>
      </w:r>
      <w:r w:rsidRPr="0012069D">
        <w:rPr>
          <w:rStyle w:val="a6"/>
        </w:rPr>
        <w:footnoteReference w:customMarkFollows="1" w:id="2"/>
        <w:t>**</w:t>
      </w:r>
    </w:p>
    <w:p w:rsidR="005B2375" w:rsidRDefault="005B2375" w:rsidP="005B2375">
      <w:pPr>
        <w:ind w:firstLine="709"/>
        <w:jc w:val="both"/>
      </w:pPr>
      <w:r w:rsidRPr="00E62700">
        <w:lastRenderedPageBreak/>
        <w:t xml:space="preserve">В рамках данного исследования, на территории </w:t>
      </w:r>
      <w:proofErr w:type="gramStart"/>
      <w:r w:rsidRPr="00E62700">
        <w:t>г</w:t>
      </w:r>
      <w:proofErr w:type="gramEnd"/>
      <w:r w:rsidRPr="00E62700">
        <w:t xml:space="preserve">. Ставрополь выделяются следующие </w:t>
      </w:r>
      <w:r>
        <w:t>функциональные (географические)</w:t>
      </w:r>
      <w:r w:rsidRPr="00E62700">
        <w:t xml:space="preserve"> районы</w:t>
      </w:r>
      <w:r>
        <w:t xml:space="preserve"> согласно общепринятому в населенном пункте районированию</w:t>
      </w:r>
      <w:r w:rsidRPr="00E62700">
        <w:t xml:space="preserve">: </w:t>
      </w:r>
      <w:proofErr w:type="spellStart"/>
      <w:proofErr w:type="gramStart"/>
      <w:r w:rsidRPr="00E62700">
        <w:t>Северо-Запад</w:t>
      </w:r>
      <w:proofErr w:type="spellEnd"/>
      <w:r w:rsidRPr="00E62700">
        <w:t>, Центр</w:t>
      </w:r>
      <w:r>
        <w:t xml:space="preserve"> (</w:t>
      </w:r>
      <w:proofErr w:type="spellStart"/>
      <w:r>
        <w:t>вкл</w:t>
      </w:r>
      <w:proofErr w:type="spellEnd"/>
      <w:r>
        <w:t>.</w:t>
      </w:r>
      <w:proofErr w:type="gramEnd"/>
      <w:r>
        <w:t xml:space="preserve"> </w:t>
      </w:r>
      <w:r w:rsidRPr="00E62700">
        <w:t>Ботаника,</w:t>
      </w:r>
      <w:r>
        <w:t xml:space="preserve"> Осетинка</w:t>
      </w:r>
      <w:r w:rsidR="005D7596">
        <w:t>, Бараки и верх Серова</w:t>
      </w:r>
      <w:r>
        <w:t>),</w:t>
      </w:r>
      <w:r w:rsidRPr="00E62700">
        <w:t xml:space="preserve"> </w:t>
      </w:r>
      <w:proofErr w:type="spellStart"/>
      <w:r w:rsidRPr="00E62700">
        <w:t>Юго-Запад</w:t>
      </w:r>
      <w:proofErr w:type="spellEnd"/>
      <w:r w:rsidR="005D7596">
        <w:t xml:space="preserve"> (</w:t>
      </w:r>
      <w:proofErr w:type="spellStart"/>
      <w:r w:rsidR="005D7596">
        <w:t>вкл</w:t>
      </w:r>
      <w:proofErr w:type="spellEnd"/>
      <w:r w:rsidR="005D7596">
        <w:t xml:space="preserve">. </w:t>
      </w:r>
      <w:proofErr w:type="gramStart"/>
      <w:r w:rsidR="005D7596">
        <w:t>Перспективный, Южный обход, Западный обход)</w:t>
      </w:r>
      <w:r w:rsidRPr="00E62700">
        <w:t xml:space="preserve"> и Другие.</w:t>
      </w:r>
      <w:proofErr w:type="gramEnd"/>
      <w:r w:rsidRPr="00E62700">
        <w:t xml:space="preserve"> Под «Другими» районами здесь и далее понимаются следующие районы: 204-й квартал, </w:t>
      </w:r>
      <w:proofErr w:type="spellStart"/>
      <w:r w:rsidRPr="00E62700">
        <w:t>Мамайка</w:t>
      </w:r>
      <w:proofErr w:type="spellEnd"/>
      <w:r w:rsidRPr="00E62700">
        <w:t xml:space="preserve">, Ташла, </w:t>
      </w:r>
      <w:proofErr w:type="spellStart"/>
      <w:r w:rsidRPr="00E62700">
        <w:t>Туапсинка</w:t>
      </w:r>
      <w:proofErr w:type="spellEnd"/>
      <w:r w:rsidRPr="00E62700">
        <w:t>, Чапаевка, а также районы, не выделенные по экономическому сегменту.</w:t>
      </w:r>
    </w:p>
    <w:p w:rsidR="003052B8" w:rsidRDefault="003052B8" w:rsidP="001241F1">
      <w:pPr>
        <w:ind w:firstLine="709"/>
        <w:jc w:val="both"/>
      </w:pPr>
      <w:r>
        <w:t xml:space="preserve">Предполагается, что выявленные </w:t>
      </w:r>
      <w:proofErr w:type="gramStart"/>
      <w:r>
        <w:t>предложения</w:t>
      </w:r>
      <w:proofErr w:type="gramEnd"/>
      <w:r>
        <w:t xml:space="preserve"> как продаж</w:t>
      </w:r>
      <w:r w:rsidR="00D47561">
        <w:t>и, так и аренды включают НДС (20</w:t>
      </w:r>
      <w:r>
        <w:t xml:space="preserve">%). </w:t>
      </w:r>
      <w:r w:rsidR="00BF5C03">
        <w:t xml:space="preserve">Анализ сложившейся деловой практики показывает, что арендные ставки не включают величину коммунальных платежей, т.е. </w:t>
      </w:r>
      <w:proofErr w:type="gramStart"/>
      <w:r w:rsidR="00BF5C03">
        <w:t>он</w:t>
      </w:r>
      <w:r w:rsidR="002C7394">
        <w:t>и</w:t>
      </w:r>
      <w:proofErr w:type="gramEnd"/>
      <w:r w:rsidR="00BF5C03">
        <w:t xml:space="preserve"> оплачиваются арендатором отдельно.</w:t>
      </w:r>
      <w:r w:rsidR="00123D2A">
        <w:t xml:space="preserve"> Следует также отметить, что типовым показателем является цена аренды 1 кв</w:t>
      </w:r>
      <w:proofErr w:type="gramStart"/>
      <w:r w:rsidR="00123D2A">
        <w:t>.м</w:t>
      </w:r>
      <w:proofErr w:type="gramEnd"/>
      <w:r w:rsidR="00123D2A">
        <w:t xml:space="preserve"> площади в интервал времени, равный месяцу.</w:t>
      </w:r>
    </w:p>
    <w:p w:rsidR="001241F1" w:rsidRDefault="001241F1" w:rsidP="001241F1">
      <w:pPr>
        <w:ind w:firstLine="709"/>
        <w:jc w:val="both"/>
      </w:pPr>
      <w:r w:rsidRPr="00C10343">
        <w:t xml:space="preserve">Интервал осуществляемого исследования принят равным месяцу. В данном случае исследуемый месяц – </w:t>
      </w:r>
      <w:r w:rsidR="00D109E1">
        <w:rPr>
          <w:sz w:val="28"/>
          <w:szCs w:val="28"/>
          <w:u w:val="single"/>
        </w:rPr>
        <w:t>март</w:t>
      </w:r>
      <w:r w:rsidR="00E206C4">
        <w:rPr>
          <w:sz w:val="28"/>
          <w:szCs w:val="28"/>
          <w:u w:val="single"/>
        </w:rPr>
        <w:t xml:space="preserve"> 2020</w:t>
      </w:r>
      <w:r w:rsidR="00093DBE" w:rsidRPr="00E40B04">
        <w:rPr>
          <w:sz w:val="28"/>
          <w:szCs w:val="28"/>
          <w:u w:val="single"/>
        </w:rPr>
        <w:t xml:space="preserve"> года</w:t>
      </w:r>
    </w:p>
    <w:p w:rsidR="00D74008" w:rsidRDefault="00D74008" w:rsidP="00D74008">
      <w:pPr>
        <w:ind w:firstLine="709"/>
        <w:jc w:val="both"/>
      </w:pPr>
      <w:r>
        <w:t xml:space="preserve">Совокупный </w:t>
      </w:r>
      <w:r w:rsidRPr="00221A08">
        <w:t>рын</w:t>
      </w:r>
      <w:r>
        <w:t>о</w:t>
      </w:r>
      <w:r w:rsidRPr="00221A08">
        <w:t xml:space="preserve">к </w:t>
      </w:r>
      <w:r>
        <w:t>торговой</w:t>
      </w:r>
      <w:r w:rsidRPr="00221A08">
        <w:t xml:space="preserve"> недвижимости</w:t>
      </w:r>
      <w:r>
        <w:t xml:space="preserve"> может быть</w:t>
      </w:r>
      <w:r w:rsidRPr="00221A08">
        <w:t xml:space="preserve"> подраздел</w:t>
      </w:r>
      <w:r>
        <w:t>ен</w:t>
      </w:r>
      <w:r w:rsidRPr="00221A08">
        <w:t xml:space="preserve"> на рынок продажи и рынок аренды.</w:t>
      </w:r>
      <w:r>
        <w:t xml:space="preserve"> Общая структура предложения коммерческой недвижимости</w:t>
      </w:r>
      <w:r w:rsidR="00093DBE">
        <w:t xml:space="preserve"> </w:t>
      </w:r>
      <w:r>
        <w:t>представлена на рисунке 1.</w:t>
      </w:r>
    </w:p>
    <w:p w:rsidR="00D74008" w:rsidRPr="00804BC6" w:rsidRDefault="00D109E1" w:rsidP="00D74008">
      <w:pPr>
        <w:jc w:val="center"/>
      </w:pPr>
      <w:r w:rsidRPr="00D109E1">
        <w:rPr>
          <w:noProof/>
        </w:rPr>
        <w:drawing>
          <wp:inline distT="0" distB="0" distL="0" distR="0">
            <wp:extent cx="2303205" cy="2230431"/>
            <wp:effectExtent l="19050" t="0" r="2089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74008" w:rsidRPr="00BA4A7B" w:rsidRDefault="00D74008" w:rsidP="00D74008">
      <w:pPr>
        <w:jc w:val="center"/>
        <w:rPr>
          <w:i/>
        </w:rPr>
      </w:pPr>
      <w:r w:rsidRPr="00BA4A7B">
        <w:rPr>
          <w:i/>
        </w:rPr>
        <w:t xml:space="preserve">Рисунок </w:t>
      </w:r>
      <w:r w:rsidR="00671BD2" w:rsidRPr="00BA4A7B">
        <w:rPr>
          <w:i/>
        </w:rPr>
        <w:fldChar w:fldCharType="begin"/>
      </w:r>
      <w:r w:rsidRPr="00BA4A7B">
        <w:rPr>
          <w:i/>
        </w:rPr>
        <w:instrText xml:space="preserve"> SEQ Рисунок \* ARABIC </w:instrText>
      </w:r>
      <w:r w:rsidR="00671BD2" w:rsidRPr="00BA4A7B">
        <w:rPr>
          <w:i/>
        </w:rPr>
        <w:fldChar w:fldCharType="separate"/>
      </w:r>
      <w:r w:rsidR="00740491">
        <w:rPr>
          <w:i/>
          <w:noProof/>
        </w:rPr>
        <w:t>1</w:t>
      </w:r>
      <w:r w:rsidR="00671BD2" w:rsidRPr="00BA4A7B">
        <w:rPr>
          <w:i/>
        </w:rPr>
        <w:fldChar w:fldCharType="end"/>
      </w:r>
      <w:r w:rsidRPr="00BA4A7B">
        <w:rPr>
          <w:i/>
        </w:rPr>
        <w:t xml:space="preserve"> – Общая структура предложения</w:t>
      </w:r>
    </w:p>
    <w:p w:rsidR="00D74008" w:rsidRDefault="00D74008" w:rsidP="00D74008">
      <w:pPr>
        <w:ind w:firstLine="709"/>
        <w:jc w:val="both"/>
      </w:pPr>
    </w:p>
    <w:p w:rsidR="00D74008" w:rsidRPr="00FD658D" w:rsidRDefault="00D74008" w:rsidP="00D74008">
      <w:pPr>
        <w:ind w:firstLine="709"/>
        <w:rPr>
          <w:b/>
        </w:rPr>
      </w:pPr>
      <w:r w:rsidRPr="00FD658D">
        <w:rPr>
          <w:b/>
        </w:rPr>
        <w:t>Продажа торговой недвижимости</w:t>
      </w:r>
    </w:p>
    <w:p w:rsidR="00D74008" w:rsidRDefault="00D74008" w:rsidP="00D74008">
      <w:pPr>
        <w:ind w:firstLine="709"/>
        <w:jc w:val="both"/>
      </w:pPr>
    </w:p>
    <w:p w:rsidR="00D74008" w:rsidRDefault="00D74008" w:rsidP="00D74008">
      <w:pPr>
        <w:ind w:firstLine="709"/>
        <w:jc w:val="both"/>
      </w:pPr>
      <w:r>
        <w:t>Структура предложений продажи в выделенных сегментах коммерческой недвижимости</w:t>
      </w:r>
      <w:r w:rsidR="00093DBE">
        <w:t xml:space="preserve"> </w:t>
      </w:r>
      <w:r>
        <w:t>по функциональному назначению представлена на рисунке 2.</w:t>
      </w:r>
    </w:p>
    <w:p w:rsidR="00D74008" w:rsidRPr="00804BC6" w:rsidRDefault="00D109E1" w:rsidP="00D74008">
      <w:pPr>
        <w:jc w:val="center"/>
      </w:pPr>
      <w:r w:rsidRPr="00D109E1">
        <w:rPr>
          <w:noProof/>
        </w:rPr>
        <w:drawing>
          <wp:inline distT="0" distB="0" distL="0" distR="0">
            <wp:extent cx="2338387" cy="2406649"/>
            <wp:effectExtent l="19050" t="0" r="23813"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74008" w:rsidRPr="00BA4A7B" w:rsidRDefault="00D74008" w:rsidP="00D74008">
      <w:pPr>
        <w:pStyle w:val="aa"/>
        <w:jc w:val="center"/>
        <w:rPr>
          <w:b w:val="0"/>
          <w:i/>
          <w:sz w:val="24"/>
          <w:szCs w:val="24"/>
        </w:rPr>
      </w:pPr>
      <w:r w:rsidRPr="00BA4A7B">
        <w:rPr>
          <w:b w:val="0"/>
          <w:i/>
          <w:sz w:val="24"/>
          <w:szCs w:val="24"/>
        </w:rPr>
        <w:t>Рисунок 2 – Структура предложений продажи по функциональному назначению</w:t>
      </w:r>
    </w:p>
    <w:p w:rsidR="00093DBE" w:rsidRPr="005D298D" w:rsidRDefault="00093DBE" w:rsidP="00093DBE">
      <w:pPr>
        <w:ind w:firstLine="540"/>
        <w:jc w:val="both"/>
      </w:pPr>
      <w:r w:rsidRPr="00E40B04">
        <w:lastRenderedPageBreak/>
        <w:t xml:space="preserve">Анализ показывает, что по функциональному назначению наиболее выставляемыми на продажу являлись объекты недвижимости </w:t>
      </w:r>
      <w:r w:rsidR="00D109E1">
        <w:t>торгов</w:t>
      </w:r>
      <w:r w:rsidR="00A54726">
        <w:t>ого</w:t>
      </w:r>
      <w:r w:rsidR="00D109E1">
        <w:t xml:space="preserve"> назначения 46</w:t>
      </w:r>
      <w:r w:rsidR="00E35E94">
        <w:t>%</w:t>
      </w:r>
      <w:r w:rsidRPr="003A5EFF">
        <w:t xml:space="preserve">, а наименее выставляемыми объекты </w:t>
      </w:r>
      <w:r w:rsidR="003D093A">
        <w:t>производственно-складского</w:t>
      </w:r>
      <w:r w:rsidR="00071FA8">
        <w:t xml:space="preserve"> </w:t>
      </w:r>
      <w:r w:rsidRPr="003A5EFF">
        <w:t>назначения (</w:t>
      </w:r>
      <w:r w:rsidR="00D109E1">
        <w:t>18</w:t>
      </w:r>
      <w:r w:rsidRPr="003A5EFF">
        <w:t>%).</w:t>
      </w:r>
    </w:p>
    <w:p w:rsidR="00D74008" w:rsidRDefault="00D74008" w:rsidP="00D74008">
      <w:pPr>
        <w:ind w:firstLine="540"/>
        <w:jc w:val="both"/>
      </w:pPr>
      <w:r>
        <w:t>Анализ ситуации, сложившейся на рынке торговой недвижимости может быть выполнен с точки зрения местонахождения объекта торговой недвижимости. Структура предложений продажи, согласно приня</w:t>
      </w:r>
      <w:r w:rsidR="006E5E1E">
        <w:t xml:space="preserve">тому районированию </w:t>
      </w:r>
      <w:proofErr w:type="gramStart"/>
      <w:r w:rsidR="006E5E1E">
        <w:t>г</w:t>
      </w:r>
      <w:proofErr w:type="gramEnd"/>
      <w:r w:rsidR="006E5E1E">
        <w:t>. Ставрополя</w:t>
      </w:r>
      <w:r>
        <w:t>, представлена на рисунке 3.</w:t>
      </w:r>
    </w:p>
    <w:p w:rsidR="00B56402" w:rsidRDefault="00B56402" w:rsidP="00D74008">
      <w:pPr>
        <w:ind w:firstLine="540"/>
        <w:jc w:val="both"/>
      </w:pPr>
    </w:p>
    <w:p w:rsidR="00D74008" w:rsidRPr="00804BC6" w:rsidRDefault="00D109E1" w:rsidP="00D74008">
      <w:pPr>
        <w:jc w:val="center"/>
      </w:pPr>
      <w:r w:rsidRPr="00D109E1">
        <w:rPr>
          <w:noProof/>
        </w:rPr>
        <w:drawing>
          <wp:inline distT="0" distB="0" distL="0" distR="0">
            <wp:extent cx="2303205" cy="1794295"/>
            <wp:effectExtent l="19050" t="0" r="2089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56402" w:rsidRPr="005C4A30" w:rsidRDefault="00D74008" w:rsidP="005C4A30">
      <w:pPr>
        <w:pStyle w:val="aa"/>
        <w:jc w:val="center"/>
        <w:rPr>
          <w:b w:val="0"/>
          <w:i/>
          <w:sz w:val="24"/>
          <w:szCs w:val="24"/>
        </w:rPr>
      </w:pPr>
      <w:r w:rsidRPr="00BA4A7B">
        <w:rPr>
          <w:b w:val="0"/>
          <w:i/>
          <w:sz w:val="24"/>
          <w:szCs w:val="24"/>
        </w:rPr>
        <w:t>Рисунок 3 – Структура предложени</w:t>
      </w:r>
      <w:r>
        <w:rPr>
          <w:b w:val="0"/>
          <w:i/>
          <w:sz w:val="24"/>
          <w:szCs w:val="24"/>
        </w:rPr>
        <w:t>й продажи</w:t>
      </w:r>
      <w:r w:rsidRPr="00BA4A7B">
        <w:rPr>
          <w:b w:val="0"/>
          <w:i/>
          <w:sz w:val="24"/>
          <w:szCs w:val="24"/>
        </w:rPr>
        <w:t xml:space="preserve"> по районам города</w:t>
      </w:r>
    </w:p>
    <w:p w:rsidR="00D74008" w:rsidRPr="00C10343" w:rsidRDefault="00D74008" w:rsidP="00D74008">
      <w:pPr>
        <w:ind w:firstLine="709"/>
        <w:jc w:val="both"/>
      </w:pPr>
      <w:r w:rsidRPr="00093DBE">
        <w:t>Из проанализированных данных видно, что наибольший объем предложения торговой не</w:t>
      </w:r>
      <w:r w:rsidR="00B46B4E">
        <w:t>дв</w:t>
      </w:r>
      <w:r w:rsidR="00E206C4">
        <w:t>ижимости на</w:t>
      </w:r>
      <w:r w:rsidR="00D109E1">
        <w:t xml:space="preserve"> продажу, а именно 51</w:t>
      </w:r>
      <w:r w:rsidRPr="00093DBE">
        <w:t xml:space="preserve">% находится в </w:t>
      </w:r>
      <w:r w:rsidR="008D7449">
        <w:t>Юго-западном районе</w:t>
      </w:r>
      <w:r w:rsidRPr="00093DBE">
        <w:t>, а наименьшим объемом представлен</w:t>
      </w:r>
      <w:r w:rsidR="00E206C4">
        <w:t>ы</w:t>
      </w:r>
      <w:r w:rsidR="00BC3842">
        <w:t xml:space="preserve"> </w:t>
      </w:r>
      <w:r w:rsidR="00E206C4">
        <w:t>Другие</w:t>
      </w:r>
      <w:r w:rsidR="00986CD4">
        <w:t xml:space="preserve"> </w:t>
      </w:r>
      <w:r w:rsidR="005D7596">
        <w:t>районы</w:t>
      </w:r>
      <w:r w:rsidRPr="00093DBE">
        <w:t>–</w:t>
      </w:r>
      <w:r w:rsidR="00D109E1">
        <w:t xml:space="preserve"> 8</w:t>
      </w:r>
      <w:r w:rsidR="00A54726">
        <w:t>%</w:t>
      </w:r>
      <w:r w:rsidRPr="00093DBE">
        <w:t>.</w:t>
      </w:r>
    </w:p>
    <w:p w:rsidR="00D74008" w:rsidRDefault="00D74008" w:rsidP="00584DD5">
      <w:pPr>
        <w:ind w:firstLine="709"/>
        <w:jc w:val="both"/>
      </w:pPr>
      <w:r w:rsidRPr="00093DBE">
        <w:rPr>
          <w:spacing w:val="-6"/>
        </w:rPr>
        <w:t xml:space="preserve">В </w:t>
      </w:r>
      <w:r w:rsidR="00D109E1">
        <w:rPr>
          <w:spacing w:val="-6"/>
        </w:rPr>
        <w:t>марте</w:t>
      </w:r>
      <w:r w:rsidR="00E206C4">
        <w:rPr>
          <w:spacing w:val="-6"/>
        </w:rPr>
        <w:t xml:space="preserve"> 2020</w:t>
      </w:r>
      <w:r w:rsidRPr="00093DBE">
        <w:rPr>
          <w:spacing w:val="-6"/>
        </w:rPr>
        <w:t xml:space="preserve"> года средн</w:t>
      </w:r>
      <w:r w:rsidR="001241F1" w:rsidRPr="00093DBE">
        <w:rPr>
          <w:spacing w:val="-6"/>
        </w:rPr>
        <w:t>я</w:t>
      </w:r>
      <w:r w:rsidRPr="00093DBE">
        <w:rPr>
          <w:spacing w:val="-6"/>
        </w:rPr>
        <w:t>я</w:t>
      </w:r>
      <w:r w:rsidR="001241F1" w:rsidRPr="00093DBE">
        <w:rPr>
          <w:rStyle w:val="a6"/>
          <w:spacing w:val="-6"/>
        </w:rPr>
        <w:footnoteReference w:customMarkFollows="1" w:id="3"/>
        <w:t>*</w:t>
      </w:r>
      <w:r w:rsidRPr="00093DBE">
        <w:rPr>
          <w:spacing w:val="-6"/>
        </w:rPr>
        <w:t xml:space="preserve"> цена предложений продажи торговой недвижимости составила </w:t>
      </w:r>
      <w:r w:rsidR="00EF3F66">
        <w:rPr>
          <w:spacing w:val="-6"/>
        </w:rPr>
        <w:t xml:space="preserve"> </w:t>
      </w:r>
      <w:r w:rsidR="00D109E1">
        <w:rPr>
          <w:spacing w:val="-6"/>
        </w:rPr>
        <w:t>58 093</w:t>
      </w:r>
      <w:r w:rsidR="006E69CF">
        <w:rPr>
          <w:spacing w:val="-6"/>
        </w:rPr>
        <w:t xml:space="preserve"> </w:t>
      </w:r>
      <w:r w:rsidRPr="00093DBE">
        <w:rPr>
          <w:spacing w:val="-6"/>
        </w:rPr>
        <w:t xml:space="preserve">руб./кв. м </w:t>
      </w:r>
      <w:r w:rsidR="003526BF">
        <w:rPr>
          <w:spacing w:val="-6"/>
        </w:rPr>
        <w:t>с</w:t>
      </w:r>
      <w:r w:rsidR="003526BF" w:rsidRPr="003526BF">
        <w:rPr>
          <w:spacing w:val="-6"/>
        </w:rPr>
        <w:t>тандартная ошибка</w:t>
      </w:r>
      <w:r w:rsidRPr="00093DBE">
        <w:rPr>
          <w:spacing w:val="-6"/>
        </w:rPr>
        <w:t xml:space="preserve"> </w:t>
      </w:r>
      <w:r w:rsidR="008D7449">
        <w:rPr>
          <w:spacing w:val="-6"/>
        </w:rPr>
        <w:t>7</w:t>
      </w:r>
      <w:r w:rsidR="00D109E1">
        <w:rPr>
          <w:spacing w:val="-6"/>
        </w:rPr>
        <w:t>,4</w:t>
      </w:r>
      <w:r w:rsidRPr="00093DBE">
        <w:rPr>
          <w:spacing w:val="-6"/>
        </w:rPr>
        <w:t>%,</w:t>
      </w:r>
      <w:r w:rsidR="00152D89">
        <w:rPr>
          <w:spacing w:val="-6"/>
        </w:rPr>
        <w:t xml:space="preserve"> изменение к предыдущему месяцу </w:t>
      </w:r>
      <w:r w:rsidR="000119CE">
        <w:rPr>
          <w:spacing w:val="-6"/>
        </w:rPr>
        <w:t>10,7</w:t>
      </w:r>
      <w:r w:rsidR="007920CC">
        <w:rPr>
          <w:spacing w:val="-6"/>
        </w:rPr>
        <w:t>%</w:t>
      </w:r>
      <w:r w:rsidRPr="00093DBE">
        <w:rPr>
          <w:spacing w:val="-6"/>
        </w:rPr>
        <w:t>. Средн</w:t>
      </w:r>
      <w:r w:rsidR="001241F1" w:rsidRPr="00093DBE">
        <w:rPr>
          <w:spacing w:val="-6"/>
        </w:rPr>
        <w:t>я</w:t>
      </w:r>
      <w:r w:rsidRPr="00093DBE">
        <w:rPr>
          <w:spacing w:val="-6"/>
        </w:rPr>
        <w:t>я цена предложений продажи</w:t>
      </w:r>
      <w:r w:rsidRPr="00093DBE">
        <w:t xml:space="preserve"> </w:t>
      </w:r>
      <w:smartTag w:uri="urn:schemas-microsoft-com:office:smarttags" w:element="metricconverter">
        <w:smartTagPr>
          <w:attr w:name="ProductID" w:val="1 кв. м"/>
        </w:smartTagPr>
        <w:r w:rsidRPr="00093DBE">
          <w:t>1 кв. м</w:t>
        </w:r>
      </w:smartTag>
      <w:r w:rsidRPr="00093DBE">
        <w:t xml:space="preserve"> торговой недвижимости колебалась в пределах от </w:t>
      </w:r>
      <w:r w:rsidR="00D109E1">
        <w:t>13 415</w:t>
      </w:r>
      <w:r w:rsidRPr="00093DBE">
        <w:t xml:space="preserve"> руб. до </w:t>
      </w:r>
      <w:r w:rsidR="006346AF">
        <w:t xml:space="preserve"> 1</w:t>
      </w:r>
      <w:r w:rsidR="00D109E1">
        <w:t>27 273</w:t>
      </w:r>
      <w:r w:rsidRPr="00093DBE">
        <w:t xml:space="preserve"> руб. в зависимости от </w:t>
      </w:r>
      <w:proofErr w:type="spellStart"/>
      <w:r w:rsidRPr="00093DBE">
        <w:t>ценообразующих</w:t>
      </w:r>
      <w:proofErr w:type="spellEnd"/>
      <w:r w:rsidRPr="00093DBE">
        <w:t xml:space="preserve"> факторов.</w:t>
      </w:r>
    </w:p>
    <w:p w:rsidR="00B56402" w:rsidRDefault="00B56402" w:rsidP="00D74008">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434CE2" w:rsidRPr="00434CE2" w:rsidTr="00E438A9">
        <w:tc>
          <w:tcPr>
            <w:tcW w:w="10296" w:type="dxa"/>
            <w:gridSpan w:val="2"/>
            <w:shd w:val="clear" w:color="auto" w:fill="FDE9D9"/>
          </w:tcPr>
          <w:p w:rsidR="00434CE2" w:rsidRPr="00E438A9" w:rsidRDefault="00434CE2" w:rsidP="00E438A9">
            <w:pPr>
              <w:jc w:val="center"/>
              <w:rPr>
                <w:i/>
              </w:rPr>
            </w:pPr>
            <w:r w:rsidRPr="00E438A9">
              <w:rPr>
                <w:i/>
                <w:spacing w:val="-6"/>
              </w:rPr>
              <w:t>Цена предложения продажи</w:t>
            </w:r>
            <w:r w:rsidRPr="00E438A9">
              <w:rPr>
                <w:i/>
              </w:rPr>
              <w:t xml:space="preserve"> единого объекта недвижи</w:t>
            </w:r>
            <w:r w:rsidR="006346AF">
              <w:rPr>
                <w:i/>
              </w:rPr>
              <w:t>мости торгового назначения,</w:t>
            </w:r>
            <w:r w:rsidRPr="00E438A9">
              <w:rPr>
                <w:i/>
              </w:rPr>
              <w:t xml:space="preserve"> руб.</w:t>
            </w:r>
          </w:p>
        </w:tc>
      </w:tr>
      <w:tr w:rsidR="00434CE2" w:rsidTr="00E438A9">
        <w:tc>
          <w:tcPr>
            <w:tcW w:w="5148" w:type="dxa"/>
            <w:shd w:val="clear" w:color="auto" w:fill="auto"/>
          </w:tcPr>
          <w:p w:rsidR="00434CE2" w:rsidRPr="00355E72" w:rsidRDefault="00434CE2" w:rsidP="00E438A9">
            <w:pPr>
              <w:jc w:val="center"/>
            </w:pPr>
            <w:r w:rsidRPr="00355E72">
              <w:t>Средняя</w:t>
            </w:r>
          </w:p>
        </w:tc>
        <w:tc>
          <w:tcPr>
            <w:tcW w:w="5148" w:type="dxa"/>
            <w:shd w:val="clear" w:color="auto" w:fill="auto"/>
          </w:tcPr>
          <w:p w:rsidR="00434CE2" w:rsidRPr="00355E72" w:rsidRDefault="000119CE" w:rsidP="00DD2141">
            <w:pPr>
              <w:jc w:val="center"/>
            </w:pPr>
            <w:r>
              <w:t>8</w:t>
            </w:r>
            <w:r w:rsidR="00D109E1">
              <w:t> 822 264</w:t>
            </w:r>
          </w:p>
        </w:tc>
      </w:tr>
      <w:tr w:rsidR="00434CE2" w:rsidTr="00E438A9">
        <w:tc>
          <w:tcPr>
            <w:tcW w:w="5148" w:type="dxa"/>
            <w:shd w:val="clear" w:color="auto" w:fill="auto"/>
          </w:tcPr>
          <w:p w:rsidR="00434CE2" w:rsidRPr="00355E72" w:rsidRDefault="00434CE2" w:rsidP="00E438A9">
            <w:pPr>
              <w:jc w:val="center"/>
            </w:pPr>
            <w:r w:rsidRPr="00355E72">
              <w:t>Максимальная</w:t>
            </w:r>
          </w:p>
        </w:tc>
        <w:tc>
          <w:tcPr>
            <w:tcW w:w="5148" w:type="dxa"/>
            <w:shd w:val="clear" w:color="auto" w:fill="auto"/>
          </w:tcPr>
          <w:p w:rsidR="00434CE2" w:rsidRPr="00355E72" w:rsidRDefault="00D109E1" w:rsidP="008D7449">
            <w:pPr>
              <w:jc w:val="center"/>
            </w:pPr>
            <w:r>
              <w:t>5</w:t>
            </w:r>
            <w:r w:rsidR="008D7449">
              <w:t>5</w:t>
            </w:r>
            <w:r w:rsidR="006346AF">
              <w:t> 000 000</w:t>
            </w:r>
          </w:p>
        </w:tc>
      </w:tr>
      <w:tr w:rsidR="00434CE2" w:rsidTr="00E438A9">
        <w:tc>
          <w:tcPr>
            <w:tcW w:w="5148" w:type="dxa"/>
            <w:shd w:val="clear" w:color="auto" w:fill="auto"/>
          </w:tcPr>
          <w:p w:rsidR="00434CE2" w:rsidRPr="00355E72" w:rsidRDefault="00434CE2" w:rsidP="00E438A9">
            <w:pPr>
              <w:jc w:val="center"/>
            </w:pPr>
            <w:r w:rsidRPr="00355E72">
              <w:t>Минимальная</w:t>
            </w:r>
          </w:p>
        </w:tc>
        <w:tc>
          <w:tcPr>
            <w:tcW w:w="5148" w:type="dxa"/>
            <w:shd w:val="clear" w:color="auto" w:fill="auto"/>
          </w:tcPr>
          <w:p w:rsidR="00434CE2" w:rsidRPr="00355E72" w:rsidRDefault="00E206C4" w:rsidP="00225877">
            <w:pPr>
              <w:jc w:val="center"/>
            </w:pPr>
            <w:r>
              <w:t>95</w:t>
            </w:r>
            <w:r w:rsidR="006E69CF">
              <w:t>0</w:t>
            </w:r>
            <w:r w:rsidR="006346AF">
              <w:t xml:space="preserve"> 000</w:t>
            </w:r>
          </w:p>
        </w:tc>
      </w:tr>
      <w:tr w:rsidR="00434CE2" w:rsidRPr="00434CE2" w:rsidTr="00E438A9">
        <w:tc>
          <w:tcPr>
            <w:tcW w:w="10296" w:type="dxa"/>
            <w:gridSpan w:val="2"/>
            <w:shd w:val="clear" w:color="auto" w:fill="FDE9D9"/>
          </w:tcPr>
          <w:p w:rsidR="00434CE2" w:rsidRPr="00E438A9" w:rsidRDefault="00434CE2" w:rsidP="00E438A9">
            <w:pPr>
              <w:jc w:val="center"/>
              <w:rPr>
                <w:i/>
              </w:rPr>
            </w:pPr>
            <w:r w:rsidRPr="00E438A9">
              <w:rPr>
                <w:i/>
                <w:spacing w:val="-6"/>
              </w:rPr>
              <w:t xml:space="preserve">Общая площадь предложения продажи </w:t>
            </w:r>
            <w:r w:rsidRPr="00E438A9">
              <w:rPr>
                <w:i/>
              </w:rPr>
              <w:t>единого объекта недвижимости торгового назначения, кв</w:t>
            </w:r>
            <w:proofErr w:type="gramStart"/>
            <w:r w:rsidRPr="00E438A9">
              <w:rPr>
                <w:i/>
              </w:rPr>
              <w:t>.м</w:t>
            </w:r>
            <w:proofErr w:type="gramEnd"/>
          </w:p>
        </w:tc>
      </w:tr>
      <w:tr w:rsidR="00434CE2" w:rsidTr="00E438A9">
        <w:tc>
          <w:tcPr>
            <w:tcW w:w="5148" w:type="dxa"/>
            <w:shd w:val="clear" w:color="auto" w:fill="auto"/>
          </w:tcPr>
          <w:p w:rsidR="00434CE2" w:rsidRDefault="00434CE2" w:rsidP="00E438A9">
            <w:pPr>
              <w:jc w:val="center"/>
            </w:pPr>
            <w:r>
              <w:t>Средняя</w:t>
            </w:r>
          </w:p>
        </w:tc>
        <w:tc>
          <w:tcPr>
            <w:tcW w:w="5148" w:type="dxa"/>
            <w:shd w:val="clear" w:color="auto" w:fill="auto"/>
          </w:tcPr>
          <w:p w:rsidR="00434CE2" w:rsidRDefault="000119CE" w:rsidP="00B46B4E">
            <w:pPr>
              <w:jc w:val="center"/>
            </w:pPr>
            <w:r>
              <w:t>1</w:t>
            </w:r>
            <w:r w:rsidR="00D109E1">
              <w:t>88</w:t>
            </w:r>
          </w:p>
        </w:tc>
      </w:tr>
      <w:tr w:rsidR="00434CE2" w:rsidTr="00E438A9">
        <w:tc>
          <w:tcPr>
            <w:tcW w:w="5148" w:type="dxa"/>
            <w:shd w:val="clear" w:color="auto" w:fill="auto"/>
          </w:tcPr>
          <w:p w:rsidR="00434CE2" w:rsidRDefault="00434CE2" w:rsidP="00E438A9">
            <w:pPr>
              <w:jc w:val="center"/>
            </w:pPr>
            <w:r>
              <w:t>Максимальная</w:t>
            </w:r>
          </w:p>
        </w:tc>
        <w:tc>
          <w:tcPr>
            <w:tcW w:w="5148" w:type="dxa"/>
            <w:shd w:val="clear" w:color="auto" w:fill="auto"/>
          </w:tcPr>
          <w:p w:rsidR="00434CE2" w:rsidRDefault="00D109E1" w:rsidP="00225877">
            <w:pPr>
              <w:jc w:val="center"/>
            </w:pPr>
            <w:r>
              <w:t>1 946</w:t>
            </w:r>
          </w:p>
        </w:tc>
      </w:tr>
      <w:tr w:rsidR="00434CE2" w:rsidTr="00E438A9">
        <w:tc>
          <w:tcPr>
            <w:tcW w:w="5148" w:type="dxa"/>
            <w:shd w:val="clear" w:color="auto" w:fill="auto"/>
          </w:tcPr>
          <w:p w:rsidR="00434CE2" w:rsidRDefault="00434CE2" w:rsidP="00E438A9">
            <w:pPr>
              <w:jc w:val="center"/>
            </w:pPr>
            <w:r>
              <w:t>Минимальная</w:t>
            </w:r>
          </w:p>
        </w:tc>
        <w:tc>
          <w:tcPr>
            <w:tcW w:w="5148" w:type="dxa"/>
            <w:shd w:val="clear" w:color="auto" w:fill="auto"/>
          </w:tcPr>
          <w:p w:rsidR="00434CE2" w:rsidRDefault="000119CE" w:rsidP="00DA4A18">
            <w:pPr>
              <w:jc w:val="center"/>
            </w:pPr>
            <w:r>
              <w:t>30</w:t>
            </w:r>
          </w:p>
        </w:tc>
      </w:tr>
    </w:tbl>
    <w:p w:rsidR="00D74008" w:rsidRDefault="00D74008" w:rsidP="000B5773">
      <w:pPr>
        <w:ind w:firstLine="567"/>
        <w:jc w:val="both"/>
      </w:pPr>
      <w:r w:rsidRPr="00C10343">
        <w:t xml:space="preserve">Соотношение </w:t>
      </w:r>
      <w:r w:rsidRPr="00C10343">
        <w:rPr>
          <w:spacing w:val="-6"/>
        </w:rPr>
        <w:t>средн</w:t>
      </w:r>
      <w:r w:rsidR="001241F1" w:rsidRPr="00C10343">
        <w:rPr>
          <w:spacing w:val="-6"/>
        </w:rPr>
        <w:t>и</w:t>
      </w:r>
      <w:r w:rsidRPr="00C10343">
        <w:rPr>
          <w:spacing w:val="-6"/>
        </w:rPr>
        <w:t>х цен предложений продажи</w:t>
      </w:r>
      <w:r w:rsidRPr="00C10343">
        <w:t xml:space="preserve"> по районам</w:t>
      </w:r>
      <w:r>
        <w:t xml:space="preserve"> города приведено на рисунке 4.</w:t>
      </w:r>
    </w:p>
    <w:p w:rsidR="00D74008" w:rsidRPr="00804BC6" w:rsidRDefault="00D109E1" w:rsidP="00D74008">
      <w:pPr>
        <w:jc w:val="center"/>
      </w:pPr>
      <w:r w:rsidRPr="00D109E1">
        <w:rPr>
          <w:noProof/>
        </w:rPr>
        <w:drawing>
          <wp:inline distT="0" distB="0" distL="0" distR="0">
            <wp:extent cx="3907982" cy="1940944"/>
            <wp:effectExtent l="19050" t="0" r="16318" b="2156"/>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74008" w:rsidRPr="00BA4A7B" w:rsidRDefault="00D74008" w:rsidP="00D74008">
      <w:pPr>
        <w:jc w:val="center"/>
        <w:rPr>
          <w:i/>
        </w:rPr>
      </w:pPr>
      <w:r w:rsidRPr="00BA4A7B">
        <w:rPr>
          <w:i/>
        </w:rPr>
        <w:t>Рисунок 4 – Средн</w:t>
      </w:r>
      <w:r w:rsidR="001241F1">
        <w:rPr>
          <w:i/>
        </w:rPr>
        <w:t>я</w:t>
      </w:r>
      <w:r w:rsidRPr="00BA4A7B">
        <w:rPr>
          <w:i/>
        </w:rPr>
        <w:t xml:space="preserve">я цена предложений продажи </w:t>
      </w:r>
      <w:smartTag w:uri="urn:schemas-microsoft-com:office:smarttags" w:element="metricconverter">
        <w:smartTagPr>
          <w:attr w:name="ProductID" w:val="1 кв. м"/>
        </w:smartTagPr>
        <w:r w:rsidRPr="00BA4A7B">
          <w:rPr>
            <w:i/>
          </w:rPr>
          <w:t>1 кв. м</w:t>
        </w:r>
      </w:smartTag>
      <w:r w:rsidRPr="00BA4A7B">
        <w:rPr>
          <w:i/>
        </w:rPr>
        <w:t xml:space="preserve"> торговой недвижимости по районам города, руб.</w:t>
      </w:r>
    </w:p>
    <w:p w:rsidR="00804BC6" w:rsidRDefault="00804BC6" w:rsidP="00804BC6">
      <w:pPr>
        <w:ind w:firstLine="709"/>
        <w:jc w:val="both"/>
        <w:rPr>
          <w:spacing w:val="-6"/>
        </w:rPr>
      </w:pPr>
      <w:r>
        <w:rPr>
          <w:spacing w:val="-6"/>
        </w:rPr>
        <w:lastRenderedPageBreak/>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804BC6" w:rsidRDefault="00804BC6" w:rsidP="00804BC6">
      <w:pPr>
        <w:ind w:firstLine="540"/>
        <w:jc w:val="both"/>
        <w:rPr>
          <w:spacing w:val="-6"/>
        </w:rPr>
      </w:pPr>
      <w:r>
        <w:rPr>
          <w:spacing w:val="-6"/>
        </w:rPr>
        <w:t>Долгосрочная динамика представлена на рисунках 5 и 6.</w:t>
      </w:r>
    </w:p>
    <w:p w:rsidR="00804BC6" w:rsidRDefault="00817AAB" w:rsidP="00804BC6">
      <w:pPr>
        <w:ind w:firstLine="709"/>
        <w:jc w:val="center"/>
        <w:rPr>
          <w:spacing w:val="-6"/>
        </w:rPr>
      </w:pPr>
      <w:r w:rsidRPr="00817AAB">
        <w:rPr>
          <w:noProof/>
          <w:spacing w:val="-6"/>
        </w:rPr>
        <w:drawing>
          <wp:inline distT="0" distB="0" distL="0" distR="0">
            <wp:extent cx="5505450" cy="1676400"/>
            <wp:effectExtent l="19050" t="0" r="19050" b="0"/>
            <wp:docPr id="20"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04BC6" w:rsidRPr="00C11E72" w:rsidRDefault="00804BC6" w:rsidP="00804BC6">
      <w:pPr>
        <w:pStyle w:val="aa"/>
        <w:ind w:firstLine="540"/>
        <w:jc w:val="center"/>
        <w:rPr>
          <w:b w:val="0"/>
          <w:i/>
          <w:sz w:val="24"/>
          <w:szCs w:val="24"/>
        </w:rPr>
      </w:pPr>
      <w:r w:rsidRPr="0066391A">
        <w:rPr>
          <w:b w:val="0"/>
          <w:i/>
          <w:sz w:val="24"/>
          <w:szCs w:val="24"/>
        </w:rPr>
        <w:t xml:space="preserve">Рисунок </w:t>
      </w:r>
      <w:r>
        <w:rPr>
          <w:b w:val="0"/>
          <w:i/>
          <w:sz w:val="24"/>
          <w:szCs w:val="24"/>
        </w:rPr>
        <w:t>5</w:t>
      </w:r>
      <w:r w:rsidRPr="0066391A">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руб.</w:t>
      </w:r>
    </w:p>
    <w:p w:rsidR="00B56402" w:rsidRDefault="00B56402" w:rsidP="00804BC6">
      <w:pPr>
        <w:ind w:firstLine="709"/>
        <w:jc w:val="both"/>
      </w:pPr>
    </w:p>
    <w:p w:rsidR="00804BC6" w:rsidRDefault="00804BC6" w:rsidP="00804BC6">
      <w:pPr>
        <w:ind w:firstLine="709"/>
        <w:jc w:val="both"/>
      </w:pPr>
      <w:r>
        <w:t>З</w:t>
      </w:r>
      <w:r w:rsidRPr="00D1639F">
        <w:t xml:space="preserve">а исследуемый интервал времени (с 2009 г. </w:t>
      </w:r>
      <w:r w:rsidR="001C2C76">
        <w:t xml:space="preserve">по </w:t>
      </w:r>
      <w:r w:rsidRPr="00D1639F">
        <w:t>201</w:t>
      </w:r>
      <w:r w:rsidR="00817AAB">
        <w:t>9</w:t>
      </w:r>
      <w:r w:rsidRPr="00D1639F">
        <w:t xml:space="preserve"> г.) средняя цена предложений продажи </w:t>
      </w:r>
      <w:smartTag w:uri="urn:schemas-microsoft-com:office:smarttags" w:element="metricconverter">
        <w:smartTagPr>
          <w:attr w:name="ProductID" w:val="1 кв. м"/>
        </w:smartTagPr>
        <w:r w:rsidRPr="00D1639F">
          <w:t>1 кв. м</w:t>
        </w:r>
      </w:smartTag>
      <w:r w:rsidRPr="00D1639F">
        <w:t xml:space="preserve"> торговой недвижимости </w:t>
      </w:r>
      <w:r w:rsidR="00E20316">
        <w:t>выросла</w:t>
      </w:r>
      <w:r w:rsidRPr="00093DBE">
        <w:t xml:space="preserve"> на </w:t>
      </w:r>
      <w:r w:rsidR="00817AAB">
        <w:t>6 971</w:t>
      </w:r>
      <w:r w:rsidRPr="00093DBE">
        <w:t xml:space="preserve"> руб.</w:t>
      </w:r>
    </w:p>
    <w:p w:rsidR="00647495" w:rsidRDefault="00647495" w:rsidP="00804BC6">
      <w:pPr>
        <w:ind w:firstLine="709"/>
        <w:jc w:val="both"/>
      </w:pPr>
    </w:p>
    <w:p w:rsidR="00804BC6" w:rsidRDefault="00817AAB" w:rsidP="00647495">
      <w:pPr>
        <w:ind w:firstLine="709"/>
        <w:jc w:val="center"/>
        <w:rPr>
          <w:spacing w:val="-6"/>
        </w:rPr>
      </w:pPr>
      <w:r w:rsidRPr="00817AAB">
        <w:rPr>
          <w:noProof/>
          <w:spacing w:val="-6"/>
        </w:rPr>
        <w:drawing>
          <wp:inline distT="0" distB="0" distL="0" distR="0">
            <wp:extent cx="5709557" cy="1674421"/>
            <wp:effectExtent l="19050" t="0" r="24493" b="1979"/>
            <wp:docPr id="21"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4BC6" w:rsidRPr="00896418" w:rsidRDefault="00804BC6" w:rsidP="00804BC6">
      <w:pPr>
        <w:pStyle w:val="aa"/>
        <w:jc w:val="center"/>
        <w:rPr>
          <w:b w:val="0"/>
          <w:i/>
          <w:sz w:val="24"/>
          <w:szCs w:val="24"/>
        </w:rPr>
      </w:pPr>
      <w:r w:rsidRPr="00896418">
        <w:rPr>
          <w:b w:val="0"/>
          <w:i/>
          <w:sz w:val="24"/>
          <w:szCs w:val="24"/>
        </w:rPr>
        <w:t xml:space="preserve">Рисунок </w:t>
      </w:r>
      <w:r>
        <w:rPr>
          <w:b w:val="0"/>
          <w:i/>
          <w:sz w:val="24"/>
          <w:szCs w:val="24"/>
        </w:rPr>
        <w:t>6</w:t>
      </w:r>
      <w:r w:rsidRPr="00896418">
        <w:rPr>
          <w:b w:val="0"/>
          <w:i/>
          <w:sz w:val="24"/>
          <w:szCs w:val="24"/>
        </w:rPr>
        <w:t xml:space="preserve"> – </w:t>
      </w:r>
      <w:r>
        <w:rPr>
          <w:b w:val="0"/>
          <w:i/>
          <w:sz w:val="24"/>
          <w:szCs w:val="24"/>
        </w:rPr>
        <w:t>Долгосрочная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w:t>
      </w:r>
      <w:r>
        <w:rPr>
          <w:b w:val="0"/>
          <w:i/>
          <w:sz w:val="24"/>
          <w:szCs w:val="24"/>
        </w:rPr>
        <w:t>%</w:t>
      </w:r>
    </w:p>
    <w:p w:rsidR="00804BC6" w:rsidRPr="00C47032" w:rsidRDefault="00804BC6" w:rsidP="00C47032">
      <w:pPr>
        <w:ind w:firstLine="709"/>
        <w:jc w:val="both"/>
      </w:pPr>
      <w:r>
        <w:t>З</w:t>
      </w:r>
      <w:r w:rsidRPr="003C4F54">
        <w:t>а исследуемый интервал времени (</w:t>
      </w:r>
      <w:r w:rsidRPr="00D1639F">
        <w:t>с 2009 г. по 201</w:t>
      </w:r>
      <w:r w:rsidR="00817AAB">
        <w:t>9</w:t>
      </w:r>
      <w:r w:rsidRPr="00D1639F">
        <w:t xml:space="preserve"> г.</w:t>
      </w:r>
      <w:r w:rsidRPr="003C4F54">
        <w:t xml:space="preserve">) средняя цена предложений продажи </w:t>
      </w:r>
      <w:smartTag w:uri="urn:schemas-microsoft-com:office:smarttags" w:element="metricconverter">
        <w:smartTagPr>
          <w:attr w:name="ProductID" w:val="1 кв. м"/>
        </w:smartTagPr>
        <w:r w:rsidRPr="003C4F54">
          <w:t>1 кв. м</w:t>
        </w:r>
      </w:smartTag>
      <w:r w:rsidRPr="003C4F54">
        <w:t xml:space="preserve"> торговой недвижимости </w:t>
      </w:r>
      <w:r w:rsidR="00E20316">
        <w:t>выросла</w:t>
      </w:r>
      <w:r w:rsidRPr="003C4F54">
        <w:t xml:space="preserve"> на </w:t>
      </w:r>
      <w:r w:rsidR="00817AAB">
        <w:t>15</w:t>
      </w:r>
      <w:r w:rsidRPr="003C4F54">
        <w:t>%.</w:t>
      </w:r>
    </w:p>
    <w:p w:rsidR="00D74008" w:rsidRDefault="00D74008" w:rsidP="00D74008">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22712D">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продажи</w:t>
      </w:r>
      <w:r w:rsidRPr="00386637">
        <w:rPr>
          <w:spacing w:val="-6"/>
        </w:rPr>
        <w:t xml:space="preserve"> </w:t>
      </w:r>
      <w:r>
        <w:rPr>
          <w:spacing w:val="-6"/>
        </w:rPr>
        <w:t>торговой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 xml:space="preserve">предложений </w:t>
      </w:r>
      <w:r w:rsidRPr="00386637">
        <w:rPr>
          <w:spacing w:val="-6"/>
        </w:rPr>
        <w:t>продаж</w:t>
      </w:r>
      <w:r>
        <w:rPr>
          <w:spacing w:val="-6"/>
        </w:rPr>
        <w:t>и в</w:t>
      </w:r>
      <w:r w:rsidRPr="00386637">
        <w:rPr>
          <w:spacing w:val="-6"/>
        </w:rPr>
        <w:t xml:space="preserve"> данно</w:t>
      </w:r>
      <w:r>
        <w:rPr>
          <w:spacing w:val="-6"/>
        </w:rPr>
        <w:t>м сегменте коммерческой недвижимости.</w:t>
      </w:r>
      <w:r w:rsidR="000E777C">
        <w:rPr>
          <w:spacing w:val="-6"/>
        </w:rPr>
        <w:t xml:space="preserve"> В качестве базиса (100%) используется средний показатель за 2009 год (47 964 руб./кв.м).</w:t>
      </w:r>
      <w:r>
        <w:rPr>
          <w:spacing w:val="-6"/>
        </w:rPr>
        <w:t xml:space="preserve"> Результат</w:t>
      </w:r>
      <w:r w:rsidRPr="00386637">
        <w:rPr>
          <w:spacing w:val="-6"/>
        </w:rPr>
        <w:t xml:space="preserve"> </w:t>
      </w:r>
      <w:r>
        <w:rPr>
          <w:spacing w:val="-6"/>
        </w:rPr>
        <w:t>представлен</w:t>
      </w:r>
      <w:r w:rsidRPr="00386637">
        <w:rPr>
          <w:spacing w:val="-6"/>
        </w:rPr>
        <w:t xml:space="preserve"> в таблиц</w:t>
      </w:r>
      <w:r>
        <w:rPr>
          <w:spacing w:val="-6"/>
        </w:rPr>
        <w:t>е 1.</w:t>
      </w:r>
    </w:p>
    <w:p w:rsidR="00443D13" w:rsidRDefault="00443D13" w:rsidP="00D74008">
      <w:pPr>
        <w:ind w:firstLine="709"/>
        <w:jc w:val="both"/>
        <w:rPr>
          <w:spacing w:val="-6"/>
        </w:rPr>
      </w:pPr>
    </w:p>
    <w:tbl>
      <w:tblPr>
        <w:tblW w:w="5000" w:type="pct"/>
        <w:tblLook w:val="04A0"/>
      </w:tblPr>
      <w:tblGrid>
        <w:gridCol w:w="1709"/>
        <w:gridCol w:w="1228"/>
        <w:gridCol w:w="1143"/>
        <w:gridCol w:w="1228"/>
        <w:gridCol w:w="1122"/>
        <w:gridCol w:w="1253"/>
        <w:gridCol w:w="974"/>
        <w:gridCol w:w="1639"/>
      </w:tblGrid>
      <w:tr w:rsidR="00D109E1" w:rsidRPr="00D109E1" w:rsidTr="001E1770">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Район</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октябрь 19</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ноябрь 19</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декабрь 19</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январь 20</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февраль 20</w:t>
            </w:r>
          </w:p>
        </w:tc>
        <w:tc>
          <w:tcPr>
            <w:tcW w:w="540" w:type="pct"/>
            <w:tcBorders>
              <w:top w:val="single" w:sz="4" w:space="0" w:color="auto"/>
              <w:left w:val="nil"/>
              <w:bottom w:val="nil"/>
              <w:right w:val="single" w:sz="4" w:space="0" w:color="auto"/>
            </w:tcBorders>
            <w:shd w:val="clear" w:color="000000" w:fill="CCFFCC"/>
            <w:noWrap/>
            <w:vAlign w:val="center"/>
            <w:hideMark/>
          </w:tcPr>
          <w:p w:rsidR="00D109E1" w:rsidRPr="00D109E1" w:rsidRDefault="00D109E1" w:rsidP="00D109E1">
            <w:pPr>
              <w:jc w:val="center"/>
              <w:rPr>
                <w:sz w:val="22"/>
                <w:szCs w:val="22"/>
              </w:rPr>
            </w:pPr>
            <w:r w:rsidRPr="00D109E1">
              <w:rPr>
                <w:sz w:val="22"/>
                <w:szCs w:val="22"/>
              </w:rPr>
              <w:t>март 20</w:t>
            </w:r>
          </w:p>
        </w:tc>
        <w:tc>
          <w:tcPr>
            <w:tcW w:w="865" w:type="pct"/>
            <w:tcBorders>
              <w:top w:val="single" w:sz="4" w:space="0" w:color="auto"/>
              <w:left w:val="nil"/>
              <w:bottom w:val="nil"/>
              <w:right w:val="single" w:sz="4" w:space="0" w:color="auto"/>
            </w:tcBorders>
            <w:shd w:val="clear" w:color="000000" w:fill="99CCFF"/>
            <w:vAlign w:val="center"/>
            <w:hideMark/>
          </w:tcPr>
          <w:p w:rsidR="00D109E1" w:rsidRPr="00D109E1" w:rsidRDefault="00D109E1" w:rsidP="00D109E1">
            <w:pPr>
              <w:jc w:val="center"/>
              <w:rPr>
                <w:sz w:val="22"/>
                <w:szCs w:val="22"/>
              </w:rPr>
            </w:pPr>
            <w:r w:rsidRPr="00D109E1">
              <w:rPr>
                <w:sz w:val="22"/>
                <w:szCs w:val="22"/>
              </w:rPr>
              <w:t>Диапазон цен</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109E1" w:rsidRPr="00D109E1" w:rsidRDefault="00D109E1" w:rsidP="00D109E1">
            <w:pPr>
              <w:rPr>
                <w:sz w:val="22"/>
                <w:szCs w:val="22"/>
              </w:rPr>
            </w:pPr>
            <w:r w:rsidRPr="00D109E1">
              <w:rPr>
                <w:sz w:val="22"/>
                <w:szCs w:val="22"/>
              </w:rPr>
              <w:t>Юго-запад</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54 145</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54 183</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54 220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56 372</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66 796</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61 336</w:t>
            </w:r>
          </w:p>
        </w:tc>
        <w:tc>
          <w:tcPr>
            <w:tcW w:w="865" w:type="pct"/>
            <w:tcBorders>
              <w:top w:val="single" w:sz="4" w:space="0" w:color="auto"/>
              <w:left w:val="nil"/>
              <w:bottom w:val="single" w:sz="4" w:space="0" w:color="auto"/>
              <w:right w:val="single" w:sz="4" w:space="0" w:color="auto"/>
            </w:tcBorders>
            <w:shd w:val="clear" w:color="000000" w:fill="CCFFFF"/>
            <w:noWrap/>
            <w:vAlign w:val="center"/>
            <w:hideMark/>
          </w:tcPr>
          <w:p w:rsidR="00D109E1" w:rsidRPr="00D109E1" w:rsidRDefault="00D109E1" w:rsidP="00D109E1">
            <w:pPr>
              <w:jc w:val="center"/>
              <w:rPr>
                <w:sz w:val="22"/>
                <w:szCs w:val="22"/>
              </w:rPr>
            </w:pPr>
            <w:r w:rsidRPr="00D109E1">
              <w:rPr>
                <w:sz w:val="22"/>
                <w:szCs w:val="22"/>
              </w:rPr>
              <w:t xml:space="preserve"> 13415-127273 </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109E1" w:rsidRPr="00D109E1" w:rsidRDefault="00D109E1" w:rsidP="00D109E1">
            <w:pPr>
              <w:rPr>
                <w:sz w:val="22"/>
                <w:szCs w:val="22"/>
              </w:rPr>
            </w:pPr>
            <w:r w:rsidRPr="00D109E1">
              <w:rPr>
                <w:sz w:val="22"/>
                <w:szCs w:val="22"/>
              </w:rPr>
              <w:t>Северо-запад</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46 724</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48 557</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50 389</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51 407</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46 450</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40 340</w:t>
            </w:r>
          </w:p>
        </w:tc>
        <w:tc>
          <w:tcPr>
            <w:tcW w:w="865" w:type="pct"/>
            <w:tcBorders>
              <w:top w:val="nil"/>
              <w:left w:val="nil"/>
              <w:bottom w:val="single" w:sz="4" w:space="0" w:color="auto"/>
              <w:right w:val="single" w:sz="4" w:space="0" w:color="auto"/>
            </w:tcBorders>
            <w:shd w:val="clear" w:color="000000" w:fill="CCFFFF"/>
            <w:noWrap/>
            <w:vAlign w:val="center"/>
            <w:hideMark/>
          </w:tcPr>
          <w:p w:rsidR="00D109E1" w:rsidRPr="00D109E1" w:rsidRDefault="00D109E1" w:rsidP="00D109E1">
            <w:pPr>
              <w:jc w:val="center"/>
              <w:rPr>
                <w:sz w:val="22"/>
                <w:szCs w:val="22"/>
              </w:rPr>
            </w:pPr>
            <w:r w:rsidRPr="00D109E1">
              <w:rPr>
                <w:sz w:val="22"/>
                <w:szCs w:val="22"/>
              </w:rPr>
              <w:t>20000-55000</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109E1" w:rsidRPr="00D109E1" w:rsidRDefault="00D109E1" w:rsidP="00D109E1">
            <w:pPr>
              <w:rPr>
                <w:sz w:val="22"/>
                <w:szCs w:val="22"/>
              </w:rPr>
            </w:pPr>
            <w:r w:rsidRPr="00D109E1">
              <w:rPr>
                <w:sz w:val="22"/>
                <w:szCs w:val="22"/>
              </w:rPr>
              <w:t>Центр</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70 651</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73 307</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75 963</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81 208</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74 404</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72 003</w:t>
            </w:r>
          </w:p>
        </w:tc>
        <w:tc>
          <w:tcPr>
            <w:tcW w:w="865" w:type="pct"/>
            <w:tcBorders>
              <w:top w:val="nil"/>
              <w:left w:val="nil"/>
              <w:bottom w:val="single" w:sz="4" w:space="0" w:color="auto"/>
              <w:right w:val="single" w:sz="4" w:space="0" w:color="auto"/>
            </w:tcBorders>
            <w:shd w:val="clear" w:color="000000" w:fill="CCFFFF"/>
            <w:noWrap/>
            <w:vAlign w:val="center"/>
            <w:hideMark/>
          </w:tcPr>
          <w:p w:rsidR="00D109E1" w:rsidRPr="00D109E1" w:rsidRDefault="00D109E1" w:rsidP="00D109E1">
            <w:pPr>
              <w:jc w:val="center"/>
              <w:rPr>
                <w:sz w:val="22"/>
                <w:szCs w:val="22"/>
              </w:rPr>
            </w:pPr>
            <w:r w:rsidRPr="00D109E1">
              <w:rPr>
                <w:sz w:val="22"/>
                <w:szCs w:val="22"/>
              </w:rPr>
              <w:t>33333-123077</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noWrap/>
            <w:vAlign w:val="center"/>
            <w:hideMark/>
          </w:tcPr>
          <w:p w:rsidR="00D109E1" w:rsidRPr="00D109E1" w:rsidRDefault="00D109E1" w:rsidP="00D109E1">
            <w:pPr>
              <w:rPr>
                <w:sz w:val="22"/>
                <w:szCs w:val="22"/>
              </w:rPr>
            </w:pPr>
            <w:r w:rsidRPr="00D109E1">
              <w:rPr>
                <w:sz w:val="22"/>
                <w:szCs w:val="22"/>
              </w:rPr>
              <w:t>Другие</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48 721</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43 303</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37 884</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38 644</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18 434</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sz w:val="22"/>
                <w:szCs w:val="22"/>
              </w:rPr>
            </w:pPr>
            <w:r w:rsidRPr="00D109E1">
              <w:rPr>
                <w:sz w:val="22"/>
                <w:szCs w:val="22"/>
              </w:rPr>
              <w:t>30 936</w:t>
            </w:r>
          </w:p>
        </w:tc>
        <w:tc>
          <w:tcPr>
            <w:tcW w:w="865" w:type="pct"/>
            <w:tcBorders>
              <w:top w:val="nil"/>
              <w:left w:val="nil"/>
              <w:bottom w:val="single" w:sz="4" w:space="0" w:color="auto"/>
              <w:right w:val="single" w:sz="4" w:space="0" w:color="auto"/>
            </w:tcBorders>
            <w:shd w:val="clear" w:color="000000" w:fill="CCFFFF"/>
            <w:noWrap/>
            <w:vAlign w:val="center"/>
            <w:hideMark/>
          </w:tcPr>
          <w:p w:rsidR="00D109E1" w:rsidRPr="00D109E1" w:rsidRDefault="00D109E1" w:rsidP="00D109E1">
            <w:pPr>
              <w:jc w:val="center"/>
              <w:rPr>
                <w:sz w:val="22"/>
                <w:szCs w:val="22"/>
              </w:rPr>
            </w:pPr>
            <w:r w:rsidRPr="00D109E1">
              <w:rPr>
                <w:sz w:val="22"/>
                <w:szCs w:val="22"/>
              </w:rPr>
              <w:t>23188-45794</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109E1" w:rsidRPr="00D109E1" w:rsidRDefault="00D109E1" w:rsidP="00D109E1">
            <w:pPr>
              <w:rPr>
                <w:sz w:val="22"/>
                <w:szCs w:val="22"/>
              </w:rPr>
            </w:pPr>
            <w:r w:rsidRPr="00D109E1">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60 576</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57 886</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55 195</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58 101</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64 296</w:t>
            </w:r>
          </w:p>
        </w:tc>
        <w:tc>
          <w:tcPr>
            <w:tcW w:w="540" w:type="pct"/>
            <w:tcBorders>
              <w:top w:val="nil"/>
              <w:left w:val="nil"/>
              <w:bottom w:val="single" w:sz="4" w:space="0" w:color="auto"/>
              <w:right w:val="single" w:sz="4" w:space="0" w:color="auto"/>
            </w:tcBorders>
            <w:shd w:val="clear" w:color="auto" w:fill="auto"/>
            <w:noWrap/>
            <w:vAlign w:val="center"/>
            <w:hideMark/>
          </w:tcPr>
          <w:p w:rsidR="00D109E1" w:rsidRPr="00D109E1" w:rsidRDefault="00D109E1" w:rsidP="00D109E1">
            <w:pPr>
              <w:jc w:val="center"/>
              <w:rPr>
                <w:b/>
                <w:bCs/>
                <w:sz w:val="22"/>
                <w:szCs w:val="22"/>
              </w:rPr>
            </w:pPr>
            <w:r w:rsidRPr="00D109E1">
              <w:rPr>
                <w:b/>
                <w:bCs/>
                <w:sz w:val="22"/>
                <w:szCs w:val="22"/>
              </w:rPr>
              <w:t>58 093</w:t>
            </w:r>
          </w:p>
        </w:tc>
        <w:tc>
          <w:tcPr>
            <w:tcW w:w="865" w:type="pct"/>
            <w:tcBorders>
              <w:top w:val="nil"/>
              <w:left w:val="nil"/>
              <w:bottom w:val="single" w:sz="4" w:space="0" w:color="auto"/>
              <w:right w:val="single" w:sz="4" w:space="0" w:color="auto"/>
            </w:tcBorders>
            <w:shd w:val="clear" w:color="000000" w:fill="CCFFFF"/>
            <w:vAlign w:val="center"/>
            <w:hideMark/>
          </w:tcPr>
          <w:p w:rsidR="00D109E1" w:rsidRPr="00D109E1" w:rsidRDefault="00D109E1" w:rsidP="00D109E1">
            <w:pPr>
              <w:jc w:val="center"/>
              <w:rPr>
                <w:sz w:val="22"/>
                <w:szCs w:val="22"/>
              </w:rPr>
            </w:pPr>
            <w:r w:rsidRPr="00D109E1">
              <w:rPr>
                <w:sz w:val="22"/>
                <w:szCs w:val="22"/>
              </w:rPr>
              <w:t>13415-127273</w:t>
            </w:r>
          </w:p>
        </w:tc>
      </w:tr>
      <w:tr w:rsidR="00D109E1" w:rsidRPr="00D109E1"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D109E1" w:rsidRPr="00D109E1" w:rsidRDefault="00D109E1" w:rsidP="00D109E1">
            <w:pPr>
              <w:rPr>
                <w:sz w:val="22"/>
                <w:szCs w:val="22"/>
              </w:rPr>
            </w:pPr>
            <w:r w:rsidRPr="00D109E1">
              <w:rPr>
                <w:sz w:val="22"/>
                <w:szCs w:val="22"/>
              </w:rPr>
              <w:t>Изменения</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126%</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121%</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115%</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121%</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134%</w:t>
            </w:r>
          </w:p>
        </w:tc>
        <w:tc>
          <w:tcPr>
            <w:tcW w:w="540" w:type="pct"/>
            <w:tcBorders>
              <w:top w:val="nil"/>
              <w:left w:val="nil"/>
              <w:bottom w:val="single" w:sz="4" w:space="0" w:color="auto"/>
              <w:right w:val="single" w:sz="4" w:space="0" w:color="auto"/>
            </w:tcBorders>
            <w:shd w:val="clear" w:color="000000" w:fill="FFFF99"/>
            <w:vAlign w:val="center"/>
            <w:hideMark/>
          </w:tcPr>
          <w:p w:rsidR="00D109E1" w:rsidRPr="00D109E1" w:rsidRDefault="00D109E1" w:rsidP="00D109E1">
            <w:pPr>
              <w:jc w:val="center"/>
              <w:rPr>
                <w:b/>
                <w:bCs/>
                <w:sz w:val="22"/>
                <w:szCs w:val="22"/>
              </w:rPr>
            </w:pPr>
            <w:r w:rsidRPr="00D109E1">
              <w:rPr>
                <w:b/>
                <w:bCs/>
                <w:sz w:val="22"/>
                <w:szCs w:val="22"/>
              </w:rPr>
              <w:t>121%</w:t>
            </w:r>
          </w:p>
        </w:tc>
        <w:tc>
          <w:tcPr>
            <w:tcW w:w="865" w:type="pct"/>
            <w:tcBorders>
              <w:top w:val="nil"/>
              <w:left w:val="nil"/>
              <w:bottom w:val="single" w:sz="4" w:space="0" w:color="auto"/>
              <w:right w:val="single" w:sz="4" w:space="0" w:color="auto"/>
            </w:tcBorders>
            <w:shd w:val="clear" w:color="000000" w:fill="CCFFFF"/>
            <w:vAlign w:val="center"/>
            <w:hideMark/>
          </w:tcPr>
          <w:p w:rsidR="00D109E1" w:rsidRPr="00D109E1" w:rsidRDefault="00D109E1" w:rsidP="00D109E1">
            <w:pPr>
              <w:jc w:val="center"/>
              <w:rPr>
                <w:b/>
                <w:bCs/>
                <w:sz w:val="22"/>
                <w:szCs w:val="22"/>
              </w:rPr>
            </w:pPr>
            <w:r w:rsidRPr="00D109E1">
              <w:rPr>
                <w:b/>
                <w:bCs/>
                <w:sz w:val="22"/>
                <w:szCs w:val="22"/>
              </w:rPr>
              <w:t>-</w:t>
            </w:r>
          </w:p>
        </w:tc>
      </w:tr>
    </w:tbl>
    <w:p w:rsidR="0027178B" w:rsidRDefault="0027178B" w:rsidP="00D74008">
      <w:pPr>
        <w:ind w:firstLine="709"/>
        <w:jc w:val="both"/>
        <w:rPr>
          <w:spacing w:val="-6"/>
        </w:rPr>
      </w:pPr>
    </w:p>
    <w:p w:rsidR="00D829C0" w:rsidRPr="00C47032" w:rsidRDefault="00D74008" w:rsidP="00C47032">
      <w:pPr>
        <w:pStyle w:val="aa"/>
        <w:jc w:val="center"/>
        <w:rPr>
          <w:b w:val="0"/>
          <w:i/>
          <w:spacing w:val="-6"/>
          <w:sz w:val="24"/>
          <w:szCs w:val="24"/>
        </w:rPr>
      </w:pPr>
      <w:r w:rsidRPr="00093DBE">
        <w:rPr>
          <w:b w:val="0"/>
          <w:i/>
          <w:sz w:val="24"/>
          <w:szCs w:val="24"/>
        </w:rPr>
        <w:t xml:space="preserve">Таблица </w:t>
      </w:r>
      <w:r w:rsidR="00671BD2" w:rsidRPr="00093DBE">
        <w:rPr>
          <w:b w:val="0"/>
          <w:i/>
          <w:sz w:val="24"/>
          <w:szCs w:val="24"/>
        </w:rPr>
        <w:fldChar w:fldCharType="begin"/>
      </w:r>
      <w:r w:rsidRPr="00093DBE">
        <w:rPr>
          <w:b w:val="0"/>
          <w:i/>
          <w:sz w:val="24"/>
          <w:szCs w:val="24"/>
        </w:rPr>
        <w:instrText xml:space="preserve"> SEQ Таблица \* ARABIC </w:instrText>
      </w:r>
      <w:r w:rsidR="00671BD2" w:rsidRPr="00093DBE">
        <w:rPr>
          <w:b w:val="0"/>
          <w:i/>
          <w:sz w:val="24"/>
          <w:szCs w:val="24"/>
        </w:rPr>
        <w:fldChar w:fldCharType="separate"/>
      </w:r>
      <w:r w:rsidR="00740491">
        <w:rPr>
          <w:b w:val="0"/>
          <w:i/>
          <w:noProof/>
          <w:sz w:val="24"/>
          <w:szCs w:val="24"/>
        </w:rPr>
        <w:t>1</w:t>
      </w:r>
      <w:r w:rsidR="00671BD2" w:rsidRPr="00093DBE">
        <w:rPr>
          <w:b w:val="0"/>
          <w:i/>
          <w:sz w:val="24"/>
          <w:szCs w:val="24"/>
        </w:rPr>
        <w:fldChar w:fldCharType="end"/>
      </w:r>
      <w:r w:rsidRPr="00093DBE">
        <w:rPr>
          <w:b w:val="0"/>
          <w:i/>
          <w:sz w:val="24"/>
          <w:szCs w:val="24"/>
        </w:rPr>
        <w:t xml:space="preserve"> – </w:t>
      </w:r>
      <w:r w:rsidR="0022712D">
        <w:rPr>
          <w:b w:val="0"/>
          <w:i/>
          <w:sz w:val="24"/>
          <w:szCs w:val="24"/>
        </w:rPr>
        <w:t>Краткосрочная д</w:t>
      </w:r>
      <w:r w:rsidRPr="00093DBE">
        <w:rPr>
          <w:b w:val="0"/>
          <w:i/>
          <w:sz w:val="24"/>
          <w:szCs w:val="24"/>
        </w:rPr>
        <w:t>инамика</w:t>
      </w:r>
      <w:r w:rsidR="001241F1" w:rsidRPr="00093DBE">
        <w:rPr>
          <w:b w:val="0"/>
          <w:i/>
          <w:sz w:val="24"/>
          <w:szCs w:val="24"/>
        </w:rPr>
        <w:t xml:space="preserve"> средних</w:t>
      </w:r>
      <w:r w:rsidRPr="00093DBE">
        <w:rPr>
          <w:b w:val="0"/>
          <w:i/>
          <w:sz w:val="24"/>
          <w:szCs w:val="24"/>
        </w:rPr>
        <w:t xml:space="preserve"> </w:t>
      </w:r>
      <w:r w:rsidRPr="00093DBE">
        <w:rPr>
          <w:b w:val="0"/>
          <w:i/>
          <w:spacing w:val="-6"/>
          <w:sz w:val="24"/>
          <w:szCs w:val="24"/>
        </w:rPr>
        <w:t>цен предложений продажи</w:t>
      </w:r>
      <w:r w:rsidRPr="00093DBE">
        <w:rPr>
          <w:b w:val="0"/>
          <w:i/>
          <w:sz w:val="24"/>
          <w:szCs w:val="24"/>
        </w:rPr>
        <w:t xml:space="preserve"> торговой недвижимости</w:t>
      </w:r>
      <w:r w:rsidR="007B3824" w:rsidRPr="00093DBE">
        <w:rPr>
          <w:b w:val="0"/>
          <w:i/>
          <w:sz w:val="24"/>
          <w:szCs w:val="24"/>
        </w:rPr>
        <w:t>, руб.</w:t>
      </w:r>
      <w:r w:rsidR="007471E7">
        <w:rPr>
          <w:b w:val="0"/>
          <w:i/>
          <w:sz w:val="24"/>
          <w:szCs w:val="24"/>
        </w:rPr>
        <w:t>/кв</w:t>
      </w:r>
      <w:proofErr w:type="gramStart"/>
      <w:r w:rsidR="007471E7">
        <w:rPr>
          <w:b w:val="0"/>
          <w:i/>
          <w:sz w:val="24"/>
          <w:szCs w:val="24"/>
        </w:rPr>
        <w:t>.м</w:t>
      </w:r>
      <w:proofErr w:type="gramEnd"/>
    </w:p>
    <w:p w:rsidR="00D74008" w:rsidRDefault="00D74008" w:rsidP="00D74008">
      <w:pPr>
        <w:ind w:firstLine="709"/>
        <w:jc w:val="both"/>
      </w:pPr>
      <w:r w:rsidRPr="00093DBE">
        <w:t>Таблица 1 свидетельствует о том, что на рынке продажи торговой недвижимости наибольшие значения цен предложений про</w:t>
      </w:r>
      <w:r w:rsidR="00F32A63">
        <w:t xml:space="preserve">дажи зафиксированы в </w:t>
      </w:r>
      <w:r w:rsidR="007918FF">
        <w:t>Центре</w:t>
      </w:r>
      <w:r w:rsidRPr="00093DBE">
        <w:t xml:space="preserve">, а наименьшие – в </w:t>
      </w:r>
      <w:r w:rsidR="00817AAB">
        <w:rPr>
          <w:spacing w:val="-8"/>
        </w:rPr>
        <w:t>Других</w:t>
      </w:r>
      <w:r w:rsidR="00AF5109">
        <w:rPr>
          <w:spacing w:val="-8"/>
        </w:rPr>
        <w:t xml:space="preserve"> район</w:t>
      </w:r>
      <w:r w:rsidR="00817AAB">
        <w:rPr>
          <w:spacing w:val="-8"/>
        </w:rPr>
        <w:t>ах</w:t>
      </w:r>
      <w:r w:rsidRPr="00093DBE">
        <w:t>.</w:t>
      </w:r>
    </w:p>
    <w:p w:rsidR="00D74008" w:rsidRDefault="000E777C" w:rsidP="009F2C44">
      <w:pPr>
        <w:ind w:firstLine="709"/>
        <w:jc w:val="both"/>
      </w:pPr>
      <w:r>
        <w:t>Краткосрочная д</w:t>
      </w:r>
      <w:r w:rsidR="00D74008" w:rsidRPr="00050A6E">
        <w:t>инамик</w:t>
      </w:r>
      <w:r w:rsidR="00D74008">
        <w:t>а</w:t>
      </w:r>
      <w:r w:rsidR="00D74008" w:rsidRPr="00050A6E">
        <w:t xml:space="preserve"> </w:t>
      </w:r>
      <w:r w:rsidR="00D74008">
        <w:t>средней цены предложений продажи</w:t>
      </w:r>
      <w:r w:rsidR="00D74008" w:rsidRPr="00050A6E">
        <w:t xml:space="preserve"> </w:t>
      </w:r>
      <w:r w:rsidR="00D74008">
        <w:t>торговой</w:t>
      </w:r>
      <w:r w:rsidR="00D74008" w:rsidRPr="00050A6E">
        <w:t xml:space="preserve"> недвижимости</w:t>
      </w:r>
      <w:r w:rsidR="00D74008">
        <w:t>, выраженная в руб., в графическом виде представлена на</w:t>
      </w:r>
      <w:r w:rsidR="00D74008" w:rsidRPr="00050A6E">
        <w:t xml:space="preserve"> </w:t>
      </w:r>
      <w:r w:rsidR="00D74008">
        <w:t xml:space="preserve">рисунке </w:t>
      </w:r>
      <w:r>
        <w:t>7</w:t>
      </w:r>
      <w:r w:rsidR="00D74008">
        <w:t>.</w:t>
      </w:r>
    </w:p>
    <w:p w:rsidR="00D74008" w:rsidRPr="000E777C" w:rsidRDefault="001E1770" w:rsidP="00D74008">
      <w:pPr>
        <w:ind w:firstLine="540"/>
        <w:jc w:val="center"/>
      </w:pPr>
      <w:r w:rsidRPr="001E1770">
        <w:lastRenderedPageBreak/>
        <w:drawing>
          <wp:inline distT="0" distB="0" distL="0" distR="0">
            <wp:extent cx="5975350" cy="2122885"/>
            <wp:effectExtent l="19050" t="0" r="25400" b="0"/>
            <wp:docPr id="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74008" w:rsidRPr="00AC6DDC" w:rsidRDefault="00D74008" w:rsidP="00AC6DDC">
      <w:pPr>
        <w:pStyle w:val="aa"/>
        <w:ind w:firstLine="540"/>
        <w:jc w:val="center"/>
        <w:rPr>
          <w:b w:val="0"/>
          <w:i/>
          <w:sz w:val="24"/>
          <w:szCs w:val="24"/>
        </w:rPr>
      </w:pPr>
      <w:r w:rsidRPr="0066391A">
        <w:rPr>
          <w:b w:val="0"/>
          <w:i/>
          <w:sz w:val="24"/>
          <w:szCs w:val="24"/>
        </w:rPr>
        <w:t xml:space="preserve">Рисунок </w:t>
      </w:r>
      <w:r w:rsidR="000E777C">
        <w:rPr>
          <w:b w:val="0"/>
          <w:i/>
          <w:sz w:val="24"/>
          <w:szCs w:val="24"/>
        </w:rPr>
        <w:t>7</w:t>
      </w:r>
      <w:r w:rsidRPr="0066391A">
        <w:rPr>
          <w:b w:val="0"/>
          <w:i/>
          <w:sz w:val="24"/>
          <w:szCs w:val="24"/>
        </w:rPr>
        <w:t xml:space="preserve"> – </w:t>
      </w:r>
      <w:r w:rsidR="000E777C">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руб.</w:t>
      </w:r>
    </w:p>
    <w:p w:rsidR="000E777C" w:rsidRPr="00AC6DDC" w:rsidRDefault="000E777C" w:rsidP="00AC6DDC">
      <w:pPr>
        <w:ind w:firstLine="709"/>
        <w:jc w:val="both"/>
      </w:pPr>
      <w:r>
        <w:t>Краткосрочная д</w:t>
      </w:r>
      <w:r w:rsidR="00D74008" w:rsidRPr="00050A6E">
        <w:t>инамик</w:t>
      </w:r>
      <w:r w:rsidR="00D74008">
        <w:t>а</w:t>
      </w:r>
      <w:r w:rsidR="00D74008" w:rsidRPr="00050A6E">
        <w:t xml:space="preserve"> </w:t>
      </w:r>
      <w:r w:rsidR="00D74008">
        <w:t>средней цены предложений продажи</w:t>
      </w:r>
      <w:r w:rsidR="00D74008" w:rsidRPr="00050A6E">
        <w:t xml:space="preserve"> </w:t>
      </w:r>
      <w:r w:rsidR="00D74008">
        <w:t>торговой</w:t>
      </w:r>
      <w:r w:rsidR="00D74008" w:rsidRPr="00050A6E">
        <w:t xml:space="preserve"> недвижимости</w:t>
      </w:r>
      <w:r w:rsidR="00D74008">
        <w:t>, выраженная в процентах, в графическом виде представлена на</w:t>
      </w:r>
      <w:r w:rsidR="00D74008" w:rsidRPr="00050A6E">
        <w:t xml:space="preserve"> </w:t>
      </w:r>
      <w:r w:rsidR="00D74008">
        <w:t>рисунке</w:t>
      </w:r>
      <w:r w:rsidR="00D74008" w:rsidRPr="00B03E52">
        <w:t xml:space="preserve"> </w:t>
      </w:r>
      <w:r>
        <w:t>8</w:t>
      </w:r>
      <w:r w:rsidR="00D74008" w:rsidRPr="00B03E52">
        <w:t>.</w:t>
      </w:r>
    </w:p>
    <w:p w:rsidR="00D74008" w:rsidRPr="000E777C" w:rsidRDefault="001E1770" w:rsidP="00D74008">
      <w:pPr>
        <w:ind w:firstLine="540"/>
        <w:jc w:val="center"/>
      </w:pPr>
      <w:r w:rsidRPr="001E1770">
        <w:rPr>
          <w:noProof/>
        </w:rPr>
        <w:drawing>
          <wp:inline distT="0" distB="0" distL="0" distR="0">
            <wp:extent cx="6034484" cy="2122885"/>
            <wp:effectExtent l="19050" t="0" r="23416" b="0"/>
            <wp:docPr id="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74008" w:rsidRPr="00AC6DDC" w:rsidRDefault="00D74008" w:rsidP="00AC6DDC">
      <w:pPr>
        <w:pStyle w:val="aa"/>
        <w:jc w:val="center"/>
        <w:rPr>
          <w:b w:val="0"/>
          <w:i/>
          <w:sz w:val="24"/>
          <w:szCs w:val="24"/>
        </w:rPr>
      </w:pPr>
      <w:r w:rsidRPr="00896418">
        <w:rPr>
          <w:b w:val="0"/>
          <w:i/>
          <w:sz w:val="24"/>
          <w:szCs w:val="24"/>
        </w:rPr>
        <w:t xml:space="preserve">Рисунок </w:t>
      </w:r>
      <w:r w:rsidR="000E777C">
        <w:rPr>
          <w:b w:val="0"/>
          <w:i/>
          <w:sz w:val="24"/>
          <w:szCs w:val="24"/>
        </w:rPr>
        <w:t>8</w:t>
      </w:r>
      <w:r w:rsidRPr="00896418">
        <w:rPr>
          <w:b w:val="0"/>
          <w:i/>
          <w:sz w:val="24"/>
          <w:szCs w:val="24"/>
        </w:rPr>
        <w:t xml:space="preserve"> – </w:t>
      </w:r>
      <w:r w:rsidR="000E777C">
        <w:rPr>
          <w:b w:val="0"/>
          <w:i/>
          <w:sz w:val="24"/>
          <w:szCs w:val="24"/>
        </w:rPr>
        <w:t>Краткосрочная д</w:t>
      </w:r>
      <w:r w:rsidRPr="00C11E72">
        <w:rPr>
          <w:b w:val="0"/>
          <w:i/>
          <w:sz w:val="24"/>
          <w:szCs w:val="24"/>
        </w:rPr>
        <w:t>инамика средней цены предложений продажи 1 к</w:t>
      </w:r>
      <w:r>
        <w:rPr>
          <w:b w:val="0"/>
          <w:i/>
          <w:sz w:val="24"/>
          <w:szCs w:val="24"/>
        </w:rPr>
        <w:t>в</w:t>
      </w:r>
      <w:proofErr w:type="gramStart"/>
      <w:r w:rsidRPr="00C11E72">
        <w:rPr>
          <w:b w:val="0"/>
          <w:i/>
          <w:sz w:val="24"/>
          <w:szCs w:val="24"/>
        </w:rPr>
        <w:t>.м</w:t>
      </w:r>
      <w:proofErr w:type="gramEnd"/>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w:t>
      </w:r>
      <w:r>
        <w:rPr>
          <w:b w:val="0"/>
          <w:i/>
          <w:sz w:val="24"/>
          <w:szCs w:val="24"/>
        </w:rPr>
        <w:t>%</w:t>
      </w:r>
    </w:p>
    <w:p w:rsidR="00D74008" w:rsidRPr="00FD658D" w:rsidRDefault="00D74008" w:rsidP="00B56402">
      <w:pPr>
        <w:ind w:firstLine="709"/>
        <w:rPr>
          <w:b/>
        </w:rPr>
      </w:pPr>
      <w:r w:rsidRPr="00794772">
        <w:rPr>
          <w:b/>
        </w:rPr>
        <w:t>Аренда торговой недвижимости</w:t>
      </w:r>
    </w:p>
    <w:p w:rsidR="00D74008" w:rsidRDefault="00D74008" w:rsidP="00D74008">
      <w:pPr>
        <w:ind w:firstLine="709"/>
        <w:jc w:val="both"/>
      </w:pPr>
    </w:p>
    <w:p w:rsidR="00D74008" w:rsidRDefault="00D74008" w:rsidP="00D74008">
      <w:pPr>
        <w:ind w:firstLine="709"/>
        <w:jc w:val="both"/>
      </w:pPr>
      <w:r>
        <w:t>Структура предложений аренды в выделенных сегментах коммерческой недвижимости</w:t>
      </w:r>
      <w:r w:rsidR="003C4F54">
        <w:t xml:space="preserve"> </w:t>
      </w:r>
      <w:r>
        <w:t xml:space="preserve">по функциональному назначению представлена на рисунке </w:t>
      </w:r>
      <w:r w:rsidR="000E777C">
        <w:t>9</w:t>
      </w:r>
      <w:r>
        <w:t>.</w:t>
      </w:r>
    </w:p>
    <w:p w:rsidR="005B24DA" w:rsidRDefault="005B24DA" w:rsidP="00D74008">
      <w:pPr>
        <w:ind w:firstLine="709"/>
        <w:jc w:val="both"/>
      </w:pPr>
    </w:p>
    <w:p w:rsidR="00D74008" w:rsidRPr="00C82577" w:rsidRDefault="001E1770" w:rsidP="00D74008">
      <w:pPr>
        <w:jc w:val="center"/>
      </w:pPr>
      <w:r w:rsidRPr="001E1770">
        <w:rPr>
          <w:noProof/>
        </w:rPr>
        <w:drawing>
          <wp:inline distT="0" distB="0" distL="0" distR="0">
            <wp:extent cx="2301478" cy="2394744"/>
            <wp:effectExtent l="19050" t="0" r="22622" b="5556"/>
            <wp:docPr id="9"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74008" w:rsidRPr="00443D13" w:rsidRDefault="00D74008" w:rsidP="00443D13">
      <w:pPr>
        <w:pStyle w:val="aa"/>
        <w:jc w:val="center"/>
        <w:rPr>
          <w:b w:val="0"/>
          <w:i/>
          <w:sz w:val="24"/>
          <w:szCs w:val="24"/>
        </w:rPr>
      </w:pPr>
      <w:r w:rsidRPr="00BA4A7B">
        <w:rPr>
          <w:b w:val="0"/>
          <w:i/>
          <w:sz w:val="24"/>
          <w:szCs w:val="24"/>
        </w:rPr>
        <w:t xml:space="preserve">Рисунок </w:t>
      </w:r>
      <w:r w:rsidR="000E777C">
        <w:rPr>
          <w:b w:val="0"/>
          <w:i/>
          <w:sz w:val="24"/>
          <w:szCs w:val="24"/>
        </w:rPr>
        <w:t>9</w:t>
      </w:r>
      <w:r w:rsidRPr="00BA4A7B">
        <w:rPr>
          <w:b w:val="0"/>
          <w:i/>
          <w:sz w:val="24"/>
          <w:szCs w:val="24"/>
        </w:rPr>
        <w:t xml:space="preserve"> – Структура предложений </w:t>
      </w:r>
      <w:r>
        <w:rPr>
          <w:b w:val="0"/>
          <w:i/>
          <w:sz w:val="24"/>
          <w:szCs w:val="24"/>
        </w:rPr>
        <w:t>аренды</w:t>
      </w:r>
      <w:r w:rsidRPr="00BA4A7B">
        <w:rPr>
          <w:b w:val="0"/>
          <w:i/>
          <w:sz w:val="24"/>
          <w:szCs w:val="24"/>
        </w:rPr>
        <w:t xml:space="preserve"> по функциональному назначению</w:t>
      </w:r>
    </w:p>
    <w:p w:rsidR="003C4F54" w:rsidRPr="005D298D" w:rsidRDefault="003C4F54" w:rsidP="003C4F54">
      <w:pPr>
        <w:ind w:firstLine="540"/>
        <w:jc w:val="both"/>
      </w:pPr>
      <w:r w:rsidRPr="00DD6E97">
        <w:lastRenderedPageBreak/>
        <w:t xml:space="preserve">Анализ показывает, что по функциональному назначению наиболее выставляемыми в наем являлись </w:t>
      </w:r>
      <w:r w:rsidRPr="00086760">
        <w:t xml:space="preserve">объекты недвижимости </w:t>
      </w:r>
      <w:r w:rsidR="001E1770">
        <w:t>торгов</w:t>
      </w:r>
      <w:r w:rsidR="00A528B9">
        <w:t>ого</w:t>
      </w:r>
      <w:r w:rsidR="00AD7846">
        <w:t xml:space="preserve"> </w:t>
      </w:r>
      <w:r w:rsidRPr="00086760">
        <w:t xml:space="preserve">назначения </w:t>
      </w:r>
      <w:r w:rsidR="00A46DF0">
        <w:t>–</w:t>
      </w:r>
      <w:r w:rsidR="001E1770">
        <w:t xml:space="preserve"> 39</w:t>
      </w:r>
      <w:r w:rsidRPr="00086760">
        <w:t>%, а</w:t>
      </w:r>
      <w:r w:rsidR="00F32A63">
        <w:t xml:space="preserve"> наименее выставляемыми </w:t>
      </w:r>
      <w:r w:rsidR="00817AAB">
        <w:t xml:space="preserve">производственно-складские </w:t>
      </w:r>
      <w:r w:rsidR="00F32A63">
        <w:t>объекты</w:t>
      </w:r>
      <w:r w:rsidR="00AF5109">
        <w:t xml:space="preserve"> </w:t>
      </w:r>
      <w:r w:rsidR="006E69CF">
        <w:t>недвижимости</w:t>
      </w:r>
      <w:r w:rsidR="001E1770">
        <w:t>– 23</w:t>
      </w:r>
      <w:r w:rsidR="00AF5109">
        <w:t>%</w:t>
      </w:r>
      <w:r w:rsidRPr="00086760">
        <w:t>.</w:t>
      </w:r>
    </w:p>
    <w:p w:rsidR="00D74008" w:rsidRDefault="00D74008" w:rsidP="00D74008">
      <w:pPr>
        <w:ind w:firstLine="540"/>
        <w:jc w:val="both"/>
      </w:pPr>
      <w:r>
        <w:t xml:space="preserve">Анализ ситуации, сложившейся на рынке торговой недвижимости может быть выполнен с точки зрения местонахождения объекта торговой недвижимости. Структура предложений аренды, согласно принятому районированию </w:t>
      </w:r>
      <w:proofErr w:type="gramStart"/>
      <w:r>
        <w:t>г</w:t>
      </w:r>
      <w:proofErr w:type="gramEnd"/>
      <w:r>
        <w:t xml:space="preserve">. Ставрополь, представлена на рисунке </w:t>
      </w:r>
      <w:r w:rsidR="00C82577">
        <w:t>10</w:t>
      </w:r>
      <w:r>
        <w:t>.</w:t>
      </w:r>
    </w:p>
    <w:p w:rsidR="005B24DA" w:rsidRDefault="005B24DA" w:rsidP="00D74008">
      <w:pPr>
        <w:ind w:firstLine="540"/>
        <w:jc w:val="both"/>
      </w:pPr>
    </w:p>
    <w:p w:rsidR="00D74008" w:rsidRPr="00C82577" w:rsidRDefault="001E1770" w:rsidP="00D74008">
      <w:pPr>
        <w:jc w:val="center"/>
      </w:pPr>
      <w:r w:rsidRPr="001E1770">
        <w:rPr>
          <w:noProof/>
        </w:rPr>
        <w:drawing>
          <wp:inline distT="0" distB="0" distL="0" distR="0">
            <wp:extent cx="2300030" cy="1923691"/>
            <wp:effectExtent l="19050" t="0" r="24070" b="359"/>
            <wp:docPr id="10"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74008" w:rsidRPr="00BA4A7B" w:rsidRDefault="00D74008" w:rsidP="00D74008">
      <w:pPr>
        <w:pStyle w:val="aa"/>
        <w:jc w:val="center"/>
        <w:rPr>
          <w:b w:val="0"/>
          <w:i/>
          <w:sz w:val="24"/>
          <w:szCs w:val="24"/>
        </w:rPr>
      </w:pPr>
      <w:r w:rsidRPr="00BA4A7B">
        <w:rPr>
          <w:b w:val="0"/>
          <w:i/>
          <w:sz w:val="24"/>
          <w:szCs w:val="24"/>
        </w:rPr>
        <w:t xml:space="preserve">Рисунок </w:t>
      </w:r>
      <w:r w:rsidR="00C82577">
        <w:rPr>
          <w:b w:val="0"/>
          <w:i/>
          <w:sz w:val="24"/>
          <w:szCs w:val="24"/>
        </w:rPr>
        <w:t>10</w:t>
      </w:r>
      <w:r w:rsidRPr="00BA4A7B">
        <w:rPr>
          <w:b w:val="0"/>
          <w:i/>
          <w:sz w:val="24"/>
          <w:szCs w:val="24"/>
        </w:rPr>
        <w:t xml:space="preserve"> – Структура предложени</w:t>
      </w:r>
      <w:r>
        <w:rPr>
          <w:b w:val="0"/>
          <w:i/>
          <w:sz w:val="24"/>
          <w:szCs w:val="24"/>
        </w:rPr>
        <w:t>й аренды</w:t>
      </w:r>
      <w:r w:rsidRPr="00BA4A7B">
        <w:rPr>
          <w:b w:val="0"/>
          <w:i/>
          <w:sz w:val="24"/>
          <w:szCs w:val="24"/>
        </w:rPr>
        <w:t xml:space="preserve"> по районам города</w:t>
      </w:r>
    </w:p>
    <w:p w:rsidR="00D74008" w:rsidRPr="000022F2" w:rsidRDefault="00D74008" w:rsidP="00D74008">
      <w:pPr>
        <w:ind w:firstLine="540"/>
        <w:jc w:val="center"/>
        <w:rPr>
          <w:i/>
        </w:rPr>
      </w:pPr>
    </w:p>
    <w:p w:rsidR="00D74008" w:rsidRPr="003C4F54" w:rsidRDefault="00D74008" w:rsidP="00D74008">
      <w:pPr>
        <w:ind w:firstLine="709"/>
        <w:jc w:val="both"/>
      </w:pPr>
      <w:r w:rsidRPr="003C4F54">
        <w:t xml:space="preserve">Из проанализированных данных видно, что наибольший объем предложения торговой недвижимости в наем, а именно </w:t>
      </w:r>
      <w:r w:rsidR="001E1770">
        <w:t xml:space="preserve"> 39</w:t>
      </w:r>
      <w:r w:rsidRPr="003C4F54">
        <w:t xml:space="preserve">% находится </w:t>
      </w:r>
      <w:r w:rsidR="006E095F">
        <w:t xml:space="preserve">в </w:t>
      </w:r>
      <w:r w:rsidR="00001F11">
        <w:t>Юго-западном районе</w:t>
      </w:r>
      <w:r w:rsidRPr="003C4F54">
        <w:t xml:space="preserve">, </w:t>
      </w:r>
      <w:r w:rsidR="00622D11">
        <w:t>а</w:t>
      </w:r>
      <w:r w:rsidR="00001F11">
        <w:t xml:space="preserve"> наименьшим объемом представлен</w:t>
      </w:r>
      <w:r w:rsidR="000119CE">
        <w:t>ы</w:t>
      </w:r>
      <w:r w:rsidR="00622D11">
        <w:t xml:space="preserve"> </w:t>
      </w:r>
      <w:r w:rsidR="000119CE">
        <w:t>Другие</w:t>
      </w:r>
      <w:r w:rsidR="00001F11">
        <w:t xml:space="preserve"> район</w:t>
      </w:r>
      <w:r w:rsidR="000119CE">
        <w:t>ы</w:t>
      </w:r>
      <w:r w:rsidR="00C27A1A">
        <w:t xml:space="preserve"> </w:t>
      </w:r>
      <w:r w:rsidR="00900431" w:rsidRPr="003C4F54">
        <w:t>–</w:t>
      </w:r>
      <w:r w:rsidR="00225877">
        <w:t xml:space="preserve"> </w:t>
      </w:r>
      <w:r w:rsidR="001E1770">
        <w:t>12</w:t>
      </w:r>
      <w:r w:rsidR="00CF7FDC">
        <w:t>% соответственно</w:t>
      </w:r>
      <w:r w:rsidR="006E69CF">
        <w:t>.</w:t>
      </w:r>
    </w:p>
    <w:p w:rsidR="00434CE2" w:rsidRPr="006E095F" w:rsidRDefault="00D74008" w:rsidP="006E095F">
      <w:pPr>
        <w:ind w:firstLine="709"/>
        <w:jc w:val="both"/>
        <w:rPr>
          <w:spacing w:val="-6"/>
        </w:rPr>
      </w:pPr>
      <w:r w:rsidRPr="003C4F54">
        <w:rPr>
          <w:spacing w:val="-6"/>
        </w:rPr>
        <w:t xml:space="preserve">В </w:t>
      </w:r>
      <w:r w:rsidR="001E1770">
        <w:rPr>
          <w:spacing w:val="-6"/>
        </w:rPr>
        <w:t>март</w:t>
      </w:r>
      <w:r w:rsidR="006E69CF">
        <w:rPr>
          <w:spacing w:val="-6"/>
        </w:rPr>
        <w:t>е</w:t>
      </w:r>
      <w:r w:rsidR="00001F11">
        <w:rPr>
          <w:spacing w:val="-6"/>
        </w:rPr>
        <w:t xml:space="preserve"> 2020</w:t>
      </w:r>
      <w:r w:rsidRPr="003C4F54">
        <w:rPr>
          <w:spacing w:val="-6"/>
        </w:rPr>
        <w:t xml:space="preserve"> года средн</w:t>
      </w:r>
      <w:r w:rsidR="001241F1" w:rsidRPr="003C4F54">
        <w:rPr>
          <w:spacing w:val="-6"/>
        </w:rPr>
        <w:t>я</w:t>
      </w:r>
      <w:r w:rsidRPr="003C4F54">
        <w:rPr>
          <w:spacing w:val="-6"/>
        </w:rPr>
        <w:t xml:space="preserve">я цена предложений аренды торговой недвижимости составила </w:t>
      </w:r>
      <w:r w:rsidR="001E1770">
        <w:rPr>
          <w:spacing w:val="-6"/>
        </w:rPr>
        <w:t>633</w:t>
      </w:r>
      <w:r w:rsidRPr="003C4F54">
        <w:rPr>
          <w:spacing w:val="-6"/>
        </w:rPr>
        <w:t xml:space="preserve"> руб./кв. м/мес. </w:t>
      </w:r>
      <w:r w:rsidR="003526BF">
        <w:rPr>
          <w:spacing w:val="-6"/>
        </w:rPr>
        <w:t>с</w:t>
      </w:r>
      <w:r w:rsidR="003526BF" w:rsidRPr="003526BF">
        <w:rPr>
          <w:spacing w:val="-6"/>
        </w:rPr>
        <w:t>тандартная ошибка</w:t>
      </w:r>
      <w:r w:rsidRPr="003C4F54">
        <w:rPr>
          <w:spacing w:val="-6"/>
        </w:rPr>
        <w:t xml:space="preserve"> </w:t>
      </w:r>
      <w:r w:rsidR="000119CE">
        <w:rPr>
          <w:spacing w:val="-6"/>
        </w:rPr>
        <w:t>7</w:t>
      </w:r>
      <w:r w:rsidR="001E1770">
        <w:rPr>
          <w:spacing w:val="-6"/>
        </w:rPr>
        <w:t>,8</w:t>
      </w:r>
      <w:r w:rsidRPr="003C4F54">
        <w:rPr>
          <w:spacing w:val="-6"/>
        </w:rPr>
        <w:t>%,</w:t>
      </w:r>
      <w:r w:rsidR="004D0175">
        <w:rPr>
          <w:spacing w:val="-6"/>
        </w:rPr>
        <w:t xml:space="preserve"> изменение к предыдущему месяцу </w:t>
      </w:r>
      <w:r w:rsidR="001E1770">
        <w:rPr>
          <w:spacing w:val="-6"/>
        </w:rPr>
        <w:t>3,1</w:t>
      </w:r>
      <w:r w:rsidR="007920CC">
        <w:rPr>
          <w:spacing w:val="-6"/>
        </w:rPr>
        <w:t>%</w:t>
      </w:r>
      <w:r w:rsidRPr="003C4F54">
        <w:rPr>
          <w:spacing w:val="-6"/>
        </w:rPr>
        <w:t>. Средн</w:t>
      </w:r>
      <w:r w:rsidR="001241F1" w:rsidRPr="003C4F54">
        <w:rPr>
          <w:spacing w:val="-6"/>
        </w:rPr>
        <w:t>я</w:t>
      </w:r>
      <w:r w:rsidRPr="003C4F54">
        <w:rPr>
          <w:spacing w:val="-6"/>
        </w:rPr>
        <w:t>я цена предложений аренды</w:t>
      </w:r>
      <w:r w:rsidRPr="003C4F54">
        <w:t xml:space="preserve"> 1 кв. м/мес. торговой недвижи</w:t>
      </w:r>
      <w:r w:rsidR="00900431" w:rsidRPr="003C4F54">
        <w:t xml:space="preserve">мости колебалась в пределах от </w:t>
      </w:r>
      <w:r w:rsidR="00CF7FDC">
        <w:t>2</w:t>
      </w:r>
      <w:r w:rsidR="001E1770">
        <w:t>00</w:t>
      </w:r>
      <w:r w:rsidRPr="003C4F54">
        <w:t xml:space="preserve"> руб. до </w:t>
      </w:r>
      <w:r w:rsidR="00E918B9">
        <w:t xml:space="preserve">    </w:t>
      </w:r>
      <w:r w:rsidR="001E1770">
        <w:t xml:space="preserve"> 2 450</w:t>
      </w:r>
      <w:r w:rsidR="00EF5AAE">
        <w:t xml:space="preserve"> </w:t>
      </w:r>
      <w:r w:rsidRPr="003C4F54">
        <w:t xml:space="preserve">руб. в зависимости от </w:t>
      </w:r>
      <w:proofErr w:type="spellStart"/>
      <w:r w:rsidRPr="003C4F54">
        <w:t>ценообразующих</w:t>
      </w:r>
      <w:proofErr w:type="spellEnd"/>
      <w:r w:rsidRPr="003C4F54">
        <w:t xml:space="preserve"> факторов.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434CE2" w:rsidRPr="00434CE2" w:rsidTr="00E438A9">
        <w:tc>
          <w:tcPr>
            <w:tcW w:w="10296" w:type="dxa"/>
            <w:gridSpan w:val="2"/>
            <w:shd w:val="clear" w:color="auto" w:fill="FDE9D9"/>
          </w:tcPr>
          <w:p w:rsidR="00434CE2" w:rsidRPr="00E438A9" w:rsidRDefault="00434CE2" w:rsidP="00E438A9">
            <w:pPr>
              <w:jc w:val="center"/>
              <w:rPr>
                <w:i/>
              </w:rPr>
            </w:pPr>
            <w:r w:rsidRPr="00E438A9">
              <w:rPr>
                <w:i/>
                <w:spacing w:val="-6"/>
              </w:rPr>
              <w:t xml:space="preserve">Цена предложения </w:t>
            </w:r>
            <w:r w:rsidR="005B24DA" w:rsidRPr="00E438A9">
              <w:rPr>
                <w:i/>
                <w:spacing w:val="-6"/>
              </w:rPr>
              <w:t>аренды</w:t>
            </w:r>
            <w:r w:rsidRPr="00E438A9">
              <w:rPr>
                <w:i/>
              </w:rPr>
              <w:t xml:space="preserve"> единого объекта недвижимости торгового н</w:t>
            </w:r>
            <w:r w:rsidR="000F4134">
              <w:rPr>
                <w:i/>
              </w:rPr>
              <w:t xml:space="preserve">азначения, </w:t>
            </w:r>
            <w:r w:rsidRPr="00E438A9">
              <w:rPr>
                <w:i/>
              </w:rPr>
              <w:t>руб.</w:t>
            </w:r>
            <w:r w:rsidR="005B24DA" w:rsidRPr="00E438A9">
              <w:rPr>
                <w:i/>
              </w:rPr>
              <w:t>/мес.</w:t>
            </w:r>
          </w:p>
        </w:tc>
      </w:tr>
      <w:tr w:rsidR="00434CE2" w:rsidTr="00E438A9">
        <w:tc>
          <w:tcPr>
            <w:tcW w:w="5148" w:type="dxa"/>
            <w:shd w:val="clear" w:color="auto" w:fill="auto"/>
          </w:tcPr>
          <w:p w:rsidR="00434CE2" w:rsidRDefault="00434CE2" w:rsidP="00E438A9">
            <w:pPr>
              <w:jc w:val="center"/>
            </w:pPr>
            <w:r>
              <w:t>Средняя</w:t>
            </w:r>
          </w:p>
        </w:tc>
        <w:tc>
          <w:tcPr>
            <w:tcW w:w="5148" w:type="dxa"/>
            <w:shd w:val="clear" w:color="auto" w:fill="auto"/>
          </w:tcPr>
          <w:p w:rsidR="00434CE2" w:rsidRDefault="0076224F" w:rsidP="003C0386">
            <w:pPr>
              <w:jc w:val="center"/>
            </w:pPr>
            <w:r>
              <w:t>1</w:t>
            </w:r>
            <w:r w:rsidR="00C8650E">
              <w:t xml:space="preserve">02 </w:t>
            </w:r>
            <w:r w:rsidR="001E1770">
              <w:t>609</w:t>
            </w:r>
          </w:p>
        </w:tc>
      </w:tr>
      <w:tr w:rsidR="00434CE2" w:rsidTr="00E438A9">
        <w:tc>
          <w:tcPr>
            <w:tcW w:w="5148" w:type="dxa"/>
            <w:shd w:val="clear" w:color="auto" w:fill="auto"/>
          </w:tcPr>
          <w:p w:rsidR="00434CE2" w:rsidRDefault="00434CE2" w:rsidP="00E438A9">
            <w:pPr>
              <w:jc w:val="center"/>
            </w:pPr>
            <w:r>
              <w:t>Максимальная</w:t>
            </w:r>
          </w:p>
        </w:tc>
        <w:tc>
          <w:tcPr>
            <w:tcW w:w="5148" w:type="dxa"/>
            <w:shd w:val="clear" w:color="auto" w:fill="auto"/>
          </w:tcPr>
          <w:p w:rsidR="00434CE2" w:rsidRDefault="001E1770" w:rsidP="001E1770">
            <w:pPr>
              <w:jc w:val="center"/>
            </w:pPr>
            <w:r>
              <w:t>504 000</w:t>
            </w:r>
          </w:p>
        </w:tc>
      </w:tr>
      <w:tr w:rsidR="00434CE2" w:rsidTr="00E438A9">
        <w:tc>
          <w:tcPr>
            <w:tcW w:w="5148" w:type="dxa"/>
            <w:shd w:val="clear" w:color="auto" w:fill="auto"/>
          </w:tcPr>
          <w:p w:rsidR="00434CE2" w:rsidRDefault="00434CE2" w:rsidP="00E438A9">
            <w:pPr>
              <w:jc w:val="center"/>
            </w:pPr>
            <w:r>
              <w:t>Минимальная</w:t>
            </w:r>
          </w:p>
        </w:tc>
        <w:tc>
          <w:tcPr>
            <w:tcW w:w="5148" w:type="dxa"/>
            <w:shd w:val="clear" w:color="auto" w:fill="auto"/>
          </w:tcPr>
          <w:p w:rsidR="00434CE2" w:rsidRDefault="00C8650E" w:rsidP="00AD7846">
            <w:pPr>
              <w:jc w:val="center"/>
            </w:pPr>
            <w:r>
              <w:t>6</w:t>
            </w:r>
            <w:r w:rsidR="000F4134">
              <w:t xml:space="preserve"> 000</w:t>
            </w:r>
          </w:p>
        </w:tc>
      </w:tr>
    </w:tbl>
    <w:p w:rsidR="00434CE2" w:rsidRDefault="00434CE2" w:rsidP="00434CE2">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8"/>
        <w:gridCol w:w="5148"/>
      </w:tblGrid>
      <w:tr w:rsidR="00434CE2" w:rsidRPr="00434CE2" w:rsidTr="00E438A9">
        <w:tc>
          <w:tcPr>
            <w:tcW w:w="10296" w:type="dxa"/>
            <w:gridSpan w:val="2"/>
            <w:shd w:val="clear" w:color="auto" w:fill="FDE9D9"/>
          </w:tcPr>
          <w:p w:rsidR="00434CE2" w:rsidRPr="00E438A9" w:rsidRDefault="00434CE2" w:rsidP="00E438A9">
            <w:pPr>
              <w:jc w:val="center"/>
              <w:rPr>
                <w:i/>
              </w:rPr>
            </w:pPr>
            <w:r w:rsidRPr="00E438A9">
              <w:rPr>
                <w:i/>
                <w:spacing w:val="-6"/>
              </w:rPr>
              <w:t xml:space="preserve">Общая площадь предложения </w:t>
            </w:r>
            <w:r w:rsidR="005B24DA" w:rsidRPr="00E438A9">
              <w:rPr>
                <w:i/>
                <w:spacing w:val="-6"/>
              </w:rPr>
              <w:t>аренды</w:t>
            </w:r>
            <w:r w:rsidRPr="00E438A9">
              <w:rPr>
                <w:i/>
                <w:spacing w:val="-6"/>
              </w:rPr>
              <w:t xml:space="preserve"> </w:t>
            </w:r>
            <w:r w:rsidRPr="00E438A9">
              <w:rPr>
                <w:i/>
              </w:rPr>
              <w:t>единого объекта недвижимости торгового назначения, кв</w:t>
            </w:r>
            <w:proofErr w:type="gramStart"/>
            <w:r w:rsidRPr="00E438A9">
              <w:rPr>
                <w:i/>
              </w:rPr>
              <w:t>.м</w:t>
            </w:r>
            <w:proofErr w:type="gramEnd"/>
          </w:p>
        </w:tc>
      </w:tr>
      <w:tr w:rsidR="00434CE2" w:rsidTr="00E438A9">
        <w:tc>
          <w:tcPr>
            <w:tcW w:w="5148" w:type="dxa"/>
            <w:shd w:val="clear" w:color="auto" w:fill="auto"/>
          </w:tcPr>
          <w:p w:rsidR="00434CE2" w:rsidRPr="00355E72" w:rsidRDefault="00434CE2" w:rsidP="00E438A9">
            <w:pPr>
              <w:jc w:val="center"/>
            </w:pPr>
            <w:r w:rsidRPr="00355E72">
              <w:t>Средняя</w:t>
            </w:r>
          </w:p>
        </w:tc>
        <w:tc>
          <w:tcPr>
            <w:tcW w:w="5148" w:type="dxa"/>
            <w:shd w:val="clear" w:color="auto" w:fill="auto"/>
          </w:tcPr>
          <w:p w:rsidR="00434CE2" w:rsidRPr="00355E72" w:rsidRDefault="001E1770" w:rsidP="000A4539">
            <w:pPr>
              <w:jc w:val="center"/>
            </w:pPr>
            <w:r>
              <w:t>191</w:t>
            </w:r>
          </w:p>
        </w:tc>
      </w:tr>
      <w:tr w:rsidR="00434CE2" w:rsidTr="00E438A9">
        <w:tc>
          <w:tcPr>
            <w:tcW w:w="5148" w:type="dxa"/>
            <w:shd w:val="clear" w:color="auto" w:fill="auto"/>
          </w:tcPr>
          <w:p w:rsidR="00434CE2" w:rsidRPr="00355E72" w:rsidRDefault="00434CE2" w:rsidP="00E438A9">
            <w:pPr>
              <w:jc w:val="center"/>
            </w:pPr>
            <w:r w:rsidRPr="00355E72">
              <w:t>Максимальная</w:t>
            </w:r>
          </w:p>
        </w:tc>
        <w:tc>
          <w:tcPr>
            <w:tcW w:w="5148" w:type="dxa"/>
            <w:shd w:val="clear" w:color="auto" w:fill="auto"/>
          </w:tcPr>
          <w:p w:rsidR="00434CE2" w:rsidRPr="00355E72" w:rsidRDefault="001E1770" w:rsidP="00C8650E">
            <w:pPr>
              <w:jc w:val="center"/>
            </w:pPr>
            <w:r>
              <w:t>1 260</w:t>
            </w:r>
          </w:p>
        </w:tc>
      </w:tr>
      <w:tr w:rsidR="00434CE2" w:rsidTr="00E438A9">
        <w:tc>
          <w:tcPr>
            <w:tcW w:w="5148" w:type="dxa"/>
            <w:shd w:val="clear" w:color="auto" w:fill="auto"/>
          </w:tcPr>
          <w:p w:rsidR="00434CE2" w:rsidRPr="00355E72" w:rsidRDefault="00434CE2" w:rsidP="00E438A9">
            <w:pPr>
              <w:jc w:val="center"/>
            </w:pPr>
            <w:r w:rsidRPr="00355E72">
              <w:t>Минимальная</w:t>
            </w:r>
          </w:p>
        </w:tc>
        <w:tc>
          <w:tcPr>
            <w:tcW w:w="5148" w:type="dxa"/>
            <w:shd w:val="clear" w:color="auto" w:fill="auto"/>
          </w:tcPr>
          <w:p w:rsidR="009D70E1" w:rsidRPr="00355E72" w:rsidRDefault="00C8650E" w:rsidP="009D70E1">
            <w:pPr>
              <w:jc w:val="center"/>
            </w:pPr>
            <w:r>
              <w:t>12</w:t>
            </w:r>
          </w:p>
        </w:tc>
      </w:tr>
    </w:tbl>
    <w:p w:rsidR="00D74008" w:rsidRDefault="00D74008" w:rsidP="004D0175">
      <w:pPr>
        <w:ind w:firstLine="567"/>
        <w:jc w:val="both"/>
      </w:pPr>
      <w:r w:rsidRPr="00900431">
        <w:t xml:space="preserve">Соотношение </w:t>
      </w:r>
      <w:r w:rsidRPr="00900431">
        <w:rPr>
          <w:spacing w:val="-6"/>
        </w:rPr>
        <w:t>средн</w:t>
      </w:r>
      <w:r w:rsidR="001241F1" w:rsidRPr="00900431">
        <w:rPr>
          <w:spacing w:val="-6"/>
        </w:rPr>
        <w:t>и</w:t>
      </w:r>
      <w:r w:rsidRPr="00900431">
        <w:rPr>
          <w:spacing w:val="-6"/>
        </w:rPr>
        <w:t>х цен предложений аренды</w:t>
      </w:r>
      <w:r w:rsidRPr="00900431">
        <w:t xml:space="preserve"> по</w:t>
      </w:r>
      <w:r>
        <w:t xml:space="preserve"> районам города приведено на рисунке </w:t>
      </w:r>
      <w:r w:rsidR="00415C26">
        <w:t>11</w:t>
      </w:r>
      <w:r>
        <w:t>.</w:t>
      </w:r>
    </w:p>
    <w:p w:rsidR="00D74008" w:rsidRPr="00415C26" w:rsidRDefault="001E1770" w:rsidP="00D74008">
      <w:pPr>
        <w:jc w:val="center"/>
      </w:pPr>
      <w:r w:rsidRPr="001E1770">
        <w:drawing>
          <wp:inline distT="0" distB="0" distL="0" distR="0">
            <wp:extent cx="3928269" cy="2301875"/>
            <wp:effectExtent l="19050" t="0" r="15081" b="3175"/>
            <wp:docPr id="11"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74008" w:rsidRPr="00BA4A7B" w:rsidRDefault="00D74008" w:rsidP="00D74008">
      <w:pPr>
        <w:jc w:val="center"/>
        <w:rPr>
          <w:i/>
        </w:rPr>
      </w:pPr>
      <w:r w:rsidRPr="00BA4A7B">
        <w:rPr>
          <w:i/>
        </w:rPr>
        <w:t xml:space="preserve">Рисунок </w:t>
      </w:r>
      <w:r w:rsidR="00415C26">
        <w:rPr>
          <w:i/>
        </w:rPr>
        <w:t>11</w:t>
      </w:r>
      <w:r w:rsidRPr="00BA4A7B">
        <w:rPr>
          <w:i/>
        </w:rPr>
        <w:t xml:space="preserve"> – Средн</w:t>
      </w:r>
      <w:r w:rsidR="001241F1">
        <w:rPr>
          <w:i/>
        </w:rPr>
        <w:t>я</w:t>
      </w:r>
      <w:r w:rsidRPr="00BA4A7B">
        <w:rPr>
          <w:i/>
        </w:rPr>
        <w:t xml:space="preserve">я цена предложений </w:t>
      </w:r>
      <w:r>
        <w:rPr>
          <w:i/>
        </w:rPr>
        <w:t>аренды</w:t>
      </w:r>
      <w:r w:rsidRPr="00BA4A7B">
        <w:rPr>
          <w:i/>
        </w:rPr>
        <w:t xml:space="preserve"> 1 кв. м</w:t>
      </w:r>
      <w:r>
        <w:rPr>
          <w:i/>
        </w:rPr>
        <w:t>/мес.</w:t>
      </w:r>
      <w:r w:rsidRPr="00BA4A7B">
        <w:rPr>
          <w:i/>
        </w:rPr>
        <w:t xml:space="preserve"> торговой недвижимости по районам города, руб.</w:t>
      </w:r>
    </w:p>
    <w:p w:rsidR="00415C26" w:rsidRDefault="00415C26" w:rsidP="00415C26">
      <w:pPr>
        <w:ind w:firstLine="709"/>
        <w:jc w:val="both"/>
        <w:rPr>
          <w:spacing w:val="-6"/>
        </w:rPr>
      </w:pPr>
      <w:r>
        <w:rPr>
          <w:spacing w:val="-6"/>
        </w:rPr>
        <w:lastRenderedPageBreak/>
        <w:t xml:space="preserve">Анализ динамики цен подразделен на две составляющие: </w:t>
      </w:r>
      <w:r w:rsidRPr="00415C26">
        <w:rPr>
          <w:b/>
          <w:spacing w:val="-6"/>
        </w:rPr>
        <w:t>долгосрочная</w:t>
      </w:r>
      <w:r>
        <w:rPr>
          <w:spacing w:val="-6"/>
        </w:rPr>
        <w:t xml:space="preserve"> (с интервалом 1 год) и </w:t>
      </w:r>
      <w:r w:rsidRPr="00415C26">
        <w:rPr>
          <w:b/>
          <w:spacing w:val="-6"/>
        </w:rPr>
        <w:t>краткосрочная</w:t>
      </w:r>
      <w:r>
        <w:rPr>
          <w:spacing w:val="-6"/>
        </w:rPr>
        <w:t xml:space="preserve"> (с интервалом 1 месяц) составляющие.</w:t>
      </w:r>
    </w:p>
    <w:p w:rsidR="00415C26" w:rsidRDefault="00415C26" w:rsidP="00415C26">
      <w:pPr>
        <w:ind w:firstLine="540"/>
        <w:jc w:val="both"/>
        <w:rPr>
          <w:spacing w:val="-6"/>
        </w:rPr>
      </w:pPr>
      <w:r>
        <w:rPr>
          <w:spacing w:val="-6"/>
        </w:rPr>
        <w:t>Долгосрочная динамика представлена на рисунках 12 и 13.</w:t>
      </w:r>
    </w:p>
    <w:p w:rsidR="00415C26" w:rsidRDefault="0076224F" w:rsidP="00415C26">
      <w:pPr>
        <w:ind w:firstLine="709"/>
        <w:jc w:val="center"/>
        <w:rPr>
          <w:spacing w:val="-6"/>
        </w:rPr>
      </w:pPr>
      <w:r w:rsidRPr="0076224F">
        <w:rPr>
          <w:noProof/>
          <w:spacing w:val="-6"/>
        </w:rPr>
        <w:drawing>
          <wp:inline distT="0" distB="0" distL="0" distR="0">
            <wp:extent cx="5514975" cy="1562100"/>
            <wp:effectExtent l="19050" t="0" r="9525" b="0"/>
            <wp:docPr id="27"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15C26" w:rsidRPr="00C11E72" w:rsidRDefault="00415C26" w:rsidP="00415C26">
      <w:pPr>
        <w:pStyle w:val="aa"/>
        <w:ind w:firstLine="540"/>
        <w:jc w:val="center"/>
        <w:rPr>
          <w:b w:val="0"/>
          <w:i/>
          <w:sz w:val="24"/>
          <w:szCs w:val="24"/>
        </w:rPr>
      </w:pPr>
      <w:r w:rsidRPr="0066391A">
        <w:rPr>
          <w:b w:val="0"/>
          <w:i/>
          <w:sz w:val="24"/>
          <w:szCs w:val="24"/>
        </w:rPr>
        <w:t xml:space="preserve">Рисунок </w:t>
      </w:r>
      <w:r>
        <w:rPr>
          <w:b w:val="0"/>
          <w:i/>
          <w:sz w:val="24"/>
          <w:szCs w:val="24"/>
        </w:rPr>
        <w:t>12</w:t>
      </w:r>
      <w:r w:rsidRPr="0066391A">
        <w:rPr>
          <w:b w:val="0"/>
          <w:i/>
          <w:sz w:val="24"/>
          <w:szCs w:val="24"/>
        </w:rPr>
        <w:t xml:space="preserve"> –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руб.</w:t>
      </w:r>
    </w:p>
    <w:p w:rsidR="00C02139" w:rsidRDefault="00C02139" w:rsidP="00415C26">
      <w:pPr>
        <w:ind w:firstLine="709"/>
        <w:jc w:val="both"/>
      </w:pPr>
    </w:p>
    <w:p w:rsidR="00415C26" w:rsidRDefault="00415C26" w:rsidP="00415C26">
      <w:pPr>
        <w:ind w:firstLine="709"/>
        <w:jc w:val="both"/>
      </w:pPr>
      <w:r>
        <w:t>З</w:t>
      </w:r>
      <w:r w:rsidRPr="003C4F54">
        <w:t>а исследуемый интервал времени (с 2009 г. по 201</w:t>
      </w:r>
      <w:r w:rsidR="0076224F">
        <w:t>9</w:t>
      </w:r>
      <w:r w:rsidRPr="003C4F54">
        <w:t xml:space="preserve"> г.) средняя цена предложений аренды 1 кв. м/мес. торговой недвижимости </w:t>
      </w:r>
      <w:r w:rsidR="00C640CB">
        <w:t>снизилась</w:t>
      </w:r>
      <w:r w:rsidRPr="003C4F54">
        <w:t xml:space="preserve"> на </w:t>
      </w:r>
      <w:r w:rsidR="0076224F">
        <w:t>6</w:t>
      </w:r>
      <w:r w:rsidR="00C640CB">
        <w:t>2</w:t>
      </w:r>
      <w:r w:rsidRPr="003C4F54">
        <w:t xml:space="preserve"> руб.</w:t>
      </w:r>
    </w:p>
    <w:p w:rsidR="00415C26" w:rsidRDefault="0076224F" w:rsidP="00C640CB">
      <w:pPr>
        <w:ind w:firstLine="709"/>
        <w:jc w:val="center"/>
        <w:rPr>
          <w:spacing w:val="-6"/>
        </w:rPr>
      </w:pPr>
      <w:r w:rsidRPr="0076224F">
        <w:rPr>
          <w:noProof/>
          <w:spacing w:val="-6"/>
        </w:rPr>
        <w:drawing>
          <wp:inline distT="0" distB="0" distL="0" distR="0">
            <wp:extent cx="5719082" cy="1567543"/>
            <wp:effectExtent l="19050" t="0" r="14968" b="0"/>
            <wp:docPr id="28"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15C26" w:rsidRPr="00896418" w:rsidRDefault="00415C26" w:rsidP="00415C26">
      <w:pPr>
        <w:pStyle w:val="aa"/>
        <w:jc w:val="center"/>
        <w:rPr>
          <w:b w:val="0"/>
          <w:i/>
          <w:sz w:val="24"/>
          <w:szCs w:val="24"/>
        </w:rPr>
      </w:pPr>
      <w:r w:rsidRPr="00896418">
        <w:rPr>
          <w:b w:val="0"/>
          <w:i/>
          <w:sz w:val="24"/>
          <w:szCs w:val="24"/>
        </w:rPr>
        <w:t xml:space="preserve">Рисунок </w:t>
      </w:r>
      <w:r>
        <w:rPr>
          <w:b w:val="0"/>
          <w:i/>
          <w:sz w:val="24"/>
          <w:szCs w:val="24"/>
        </w:rPr>
        <w:t>1</w:t>
      </w:r>
      <w:r w:rsidR="00160B53">
        <w:rPr>
          <w:b w:val="0"/>
          <w:i/>
          <w:sz w:val="24"/>
          <w:szCs w:val="24"/>
        </w:rPr>
        <w:t>3</w:t>
      </w:r>
      <w:r w:rsidRPr="00896418">
        <w:rPr>
          <w:b w:val="0"/>
          <w:i/>
          <w:sz w:val="24"/>
          <w:szCs w:val="24"/>
        </w:rPr>
        <w:t xml:space="preserve"> – </w:t>
      </w:r>
      <w:r>
        <w:rPr>
          <w:b w:val="0"/>
          <w:i/>
          <w:sz w:val="24"/>
          <w:szCs w:val="24"/>
        </w:rPr>
        <w:t>Долгосрочная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w:t>
      </w:r>
      <w:r>
        <w:rPr>
          <w:b w:val="0"/>
          <w:i/>
          <w:sz w:val="24"/>
          <w:szCs w:val="24"/>
        </w:rPr>
        <w:t>%</w:t>
      </w:r>
    </w:p>
    <w:p w:rsidR="00415C26" w:rsidRDefault="00415C26" w:rsidP="00415C26">
      <w:pPr>
        <w:ind w:firstLine="709"/>
        <w:jc w:val="both"/>
      </w:pPr>
      <w:r>
        <w:t>З</w:t>
      </w:r>
      <w:r w:rsidRPr="003C4F54">
        <w:t>а исследуемый интервал времени (с 2009 г. по 201</w:t>
      </w:r>
      <w:r w:rsidR="0076224F">
        <w:t>9</w:t>
      </w:r>
      <w:r w:rsidRPr="003C4F54">
        <w:t xml:space="preserve"> г.) средняя цена предложений аренды 1 кв. м/ме</w:t>
      </w:r>
      <w:r w:rsidR="005F7133">
        <w:t xml:space="preserve">с. торговой недвижимости </w:t>
      </w:r>
      <w:r w:rsidR="0076224F">
        <w:t>увеличи</w:t>
      </w:r>
      <w:r w:rsidR="005F7133">
        <w:t>лась</w:t>
      </w:r>
      <w:r w:rsidRPr="003C4F54">
        <w:t xml:space="preserve"> на </w:t>
      </w:r>
      <w:r w:rsidR="0076224F">
        <w:t>11</w:t>
      </w:r>
      <w:r w:rsidRPr="003C4F54">
        <w:t>%.</w:t>
      </w:r>
    </w:p>
    <w:p w:rsidR="004D0175" w:rsidRDefault="00D74008" w:rsidP="00D74008">
      <w:pPr>
        <w:ind w:firstLine="709"/>
        <w:jc w:val="both"/>
        <w:rPr>
          <w:spacing w:val="-6"/>
        </w:rPr>
      </w:pPr>
      <w:r>
        <w:rPr>
          <w:spacing w:val="-6"/>
        </w:rPr>
        <w:t xml:space="preserve">Для </w:t>
      </w:r>
      <w:r w:rsidRPr="00386637">
        <w:rPr>
          <w:spacing w:val="-6"/>
        </w:rPr>
        <w:t>анализ</w:t>
      </w:r>
      <w:r>
        <w:rPr>
          <w:spacing w:val="-6"/>
        </w:rPr>
        <w:t>а</w:t>
      </w:r>
      <w:r w:rsidRPr="00386637">
        <w:rPr>
          <w:spacing w:val="-6"/>
        </w:rPr>
        <w:t xml:space="preserve"> </w:t>
      </w:r>
      <w:r w:rsidR="00415C26">
        <w:rPr>
          <w:spacing w:val="-6"/>
        </w:rPr>
        <w:t xml:space="preserve">краткосрочной </w:t>
      </w:r>
      <w:r w:rsidRPr="00386637">
        <w:rPr>
          <w:spacing w:val="-6"/>
        </w:rPr>
        <w:t>динамик</w:t>
      </w:r>
      <w:r>
        <w:rPr>
          <w:spacing w:val="-6"/>
        </w:rPr>
        <w:t>и</w:t>
      </w:r>
      <w:r w:rsidRPr="00386637">
        <w:rPr>
          <w:spacing w:val="-6"/>
        </w:rPr>
        <w:t xml:space="preserve"> </w:t>
      </w:r>
      <w:r>
        <w:rPr>
          <w:spacing w:val="-6"/>
        </w:rPr>
        <w:t>цен предложений аренды</w:t>
      </w:r>
      <w:r w:rsidRPr="00386637">
        <w:rPr>
          <w:spacing w:val="-6"/>
        </w:rPr>
        <w:t xml:space="preserve"> </w:t>
      </w:r>
      <w:r>
        <w:rPr>
          <w:spacing w:val="-6"/>
        </w:rPr>
        <w:t>торговой</w:t>
      </w:r>
      <w:r w:rsidRPr="00386637">
        <w:rPr>
          <w:spacing w:val="-6"/>
        </w:rPr>
        <w:t xml:space="preserve"> </w:t>
      </w:r>
      <w:r>
        <w:rPr>
          <w:spacing w:val="-6"/>
        </w:rPr>
        <w:t>недвижимости</w:t>
      </w:r>
      <w:r w:rsidRPr="00386637">
        <w:rPr>
          <w:spacing w:val="-6"/>
        </w:rPr>
        <w:t xml:space="preserve"> были </w:t>
      </w:r>
      <w:r>
        <w:rPr>
          <w:spacing w:val="-6"/>
        </w:rPr>
        <w:t>рассмотрены и отобраны</w:t>
      </w:r>
      <w:r w:rsidRPr="00386637">
        <w:rPr>
          <w:spacing w:val="-6"/>
        </w:rPr>
        <w:t xml:space="preserve"> доступные объявления </w:t>
      </w:r>
      <w:r>
        <w:rPr>
          <w:spacing w:val="-6"/>
        </w:rPr>
        <w:t>предложений аренды в</w:t>
      </w:r>
      <w:r w:rsidRPr="00386637">
        <w:rPr>
          <w:spacing w:val="-6"/>
        </w:rPr>
        <w:t xml:space="preserve"> данно</w:t>
      </w:r>
      <w:r>
        <w:rPr>
          <w:spacing w:val="-6"/>
        </w:rPr>
        <w:t xml:space="preserve">м сегменте коммерческой недвижимости. </w:t>
      </w:r>
      <w:r w:rsidR="00415C26">
        <w:rPr>
          <w:spacing w:val="-6"/>
        </w:rPr>
        <w:t>В качестве базиса (100%) используется средний показатель за 2009 год (579 руб./кв</w:t>
      </w:r>
      <w:proofErr w:type="gramStart"/>
      <w:r w:rsidR="00415C26">
        <w:rPr>
          <w:spacing w:val="-6"/>
        </w:rPr>
        <w:t>.м</w:t>
      </w:r>
      <w:proofErr w:type="gramEnd"/>
      <w:r w:rsidR="00415C26">
        <w:rPr>
          <w:spacing w:val="-6"/>
        </w:rPr>
        <w:t xml:space="preserve">/мес.). </w:t>
      </w:r>
      <w:r>
        <w:rPr>
          <w:spacing w:val="-6"/>
        </w:rPr>
        <w:t>Результат</w:t>
      </w:r>
      <w:r w:rsidRPr="00386637">
        <w:rPr>
          <w:spacing w:val="-6"/>
        </w:rPr>
        <w:t xml:space="preserve"> </w:t>
      </w:r>
      <w:r>
        <w:rPr>
          <w:spacing w:val="-6"/>
        </w:rPr>
        <w:t>представлен</w:t>
      </w:r>
      <w:r w:rsidRPr="00386637">
        <w:rPr>
          <w:spacing w:val="-6"/>
        </w:rPr>
        <w:t xml:space="preserve"> в таблиц</w:t>
      </w:r>
      <w:r>
        <w:rPr>
          <w:spacing w:val="-6"/>
        </w:rPr>
        <w:t>е 2.</w:t>
      </w:r>
    </w:p>
    <w:p w:rsidR="00443D13" w:rsidRDefault="00443D13" w:rsidP="00D74008">
      <w:pPr>
        <w:ind w:firstLine="709"/>
        <w:jc w:val="both"/>
        <w:rPr>
          <w:spacing w:val="-6"/>
        </w:rPr>
      </w:pPr>
    </w:p>
    <w:tbl>
      <w:tblPr>
        <w:tblW w:w="5000" w:type="pct"/>
        <w:tblLook w:val="04A0"/>
      </w:tblPr>
      <w:tblGrid>
        <w:gridCol w:w="1709"/>
        <w:gridCol w:w="1228"/>
        <w:gridCol w:w="1143"/>
        <w:gridCol w:w="1228"/>
        <w:gridCol w:w="1122"/>
        <w:gridCol w:w="1253"/>
        <w:gridCol w:w="974"/>
        <w:gridCol w:w="1639"/>
      </w:tblGrid>
      <w:tr w:rsidR="001E1770" w:rsidRPr="001E1770" w:rsidTr="001E1770">
        <w:trPr>
          <w:trHeight w:val="20"/>
        </w:trPr>
        <w:tc>
          <w:tcPr>
            <w:tcW w:w="8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Район</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октябрь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ноябрь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декабрь 19</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январь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февраль 20</w:t>
            </w:r>
          </w:p>
        </w:tc>
        <w:tc>
          <w:tcPr>
            <w:tcW w:w="540" w:type="pct"/>
            <w:tcBorders>
              <w:top w:val="single" w:sz="4" w:space="0" w:color="auto"/>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март 20</w:t>
            </w:r>
          </w:p>
        </w:tc>
        <w:tc>
          <w:tcPr>
            <w:tcW w:w="865" w:type="pct"/>
            <w:tcBorders>
              <w:top w:val="single" w:sz="4" w:space="0" w:color="auto"/>
              <w:left w:val="nil"/>
              <w:bottom w:val="single" w:sz="4" w:space="0" w:color="auto"/>
              <w:right w:val="single" w:sz="4" w:space="0" w:color="auto"/>
            </w:tcBorders>
            <w:shd w:val="clear" w:color="000000" w:fill="99CCFF"/>
            <w:vAlign w:val="center"/>
            <w:hideMark/>
          </w:tcPr>
          <w:p w:rsidR="001E1770" w:rsidRPr="001E1770" w:rsidRDefault="001E1770" w:rsidP="001E1770">
            <w:pPr>
              <w:jc w:val="center"/>
              <w:rPr>
                <w:sz w:val="22"/>
                <w:szCs w:val="22"/>
              </w:rPr>
            </w:pPr>
            <w:r w:rsidRPr="001E1770">
              <w:rPr>
                <w:sz w:val="22"/>
                <w:szCs w:val="22"/>
              </w:rPr>
              <w:t>Диапазон цен</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1E1770" w:rsidRPr="001E1770" w:rsidRDefault="001E1770" w:rsidP="001E1770">
            <w:pPr>
              <w:rPr>
                <w:sz w:val="22"/>
                <w:szCs w:val="22"/>
              </w:rPr>
            </w:pPr>
            <w:r w:rsidRPr="001E1770">
              <w:rPr>
                <w:sz w:val="22"/>
                <w:szCs w:val="22"/>
              </w:rPr>
              <w:t>Юго-запад</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690</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685</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680</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672</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624</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546</w:t>
            </w:r>
          </w:p>
        </w:tc>
        <w:tc>
          <w:tcPr>
            <w:tcW w:w="865" w:type="pct"/>
            <w:tcBorders>
              <w:top w:val="nil"/>
              <w:left w:val="nil"/>
              <w:bottom w:val="single" w:sz="4" w:space="0" w:color="auto"/>
              <w:right w:val="single" w:sz="4" w:space="0" w:color="auto"/>
            </w:tcBorders>
            <w:shd w:val="clear" w:color="000000" w:fill="CCFFFF"/>
            <w:noWrap/>
            <w:vAlign w:val="center"/>
            <w:hideMark/>
          </w:tcPr>
          <w:p w:rsidR="001E1770" w:rsidRPr="001E1770" w:rsidRDefault="001E1770" w:rsidP="001E1770">
            <w:pPr>
              <w:jc w:val="center"/>
              <w:rPr>
                <w:sz w:val="22"/>
                <w:szCs w:val="22"/>
              </w:rPr>
            </w:pPr>
            <w:r w:rsidRPr="001E1770">
              <w:rPr>
                <w:sz w:val="22"/>
                <w:szCs w:val="22"/>
              </w:rPr>
              <w:t>260-1000</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1E1770" w:rsidRPr="001E1770" w:rsidRDefault="001E1770" w:rsidP="001E1770">
            <w:pPr>
              <w:rPr>
                <w:sz w:val="22"/>
                <w:szCs w:val="22"/>
              </w:rPr>
            </w:pPr>
            <w:r w:rsidRPr="001E1770">
              <w:rPr>
                <w:sz w:val="22"/>
                <w:szCs w:val="22"/>
              </w:rPr>
              <w:t>Северо-запад</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659</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662</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665</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633</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632</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518</w:t>
            </w:r>
          </w:p>
        </w:tc>
        <w:tc>
          <w:tcPr>
            <w:tcW w:w="865" w:type="pct"/>
            <w:tcBorders>
              <w:top w:val="nil"/>
              <w:left w:val="nil"/>
              <w:bottom w:val="single" w:sz="4" w:space="0" w:color="auto"/>
              <w:right w:val="single" w:sz="4" w:space="0" w:color="auto"/>
            </w:tcBorders>
            <w:shd w:val="clear" w:color="000000" w:fill="CCFFFF"/>
            <w:noWrap/>
            <w:vAlign w:val="center"/>
            <w:hideMark/>
          </w:tcPr>
          <w:p w:rsidR="001E1770" w:rsidRPr="001E1770" w:rsidRDefault="001E1770" w:rsidP="001E1770">
            <w:pPr>
              <w:jc w:val="center"/>
              <w:rPr>
                <w:sz w:val="22"/>
                <w:szCs w:val="22"/>
              </w:rPr>
            </w:pPr>
            <w:r w:rsidRPr="001E1770">
              <w:rPr>
                <w:sz w:val="22"/>
                <w:szCs w:val="22"/>
              </w:rPr>
              <w:t>200-900</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1E1770" w:rsidRPr="001E1770" w:rsidRDefault="001E1770" w:rsidP="001E1770">
            <w:pPr>
              <w:rPr>
                <w:sz w:val="22"/>
                <w:szCs w:val="22"/>
              </w:rPr>
            </w:pPr>
            <w:r w:rsidRPr="001E1770">
              <w:rPr>
                <w:sz w:val="22"/>
                <w:szCs w:val="22"/>
              </w:rPr>
              <w:t>Центр</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660</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728</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795</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827</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681</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884</w:t>
            </w:r>
          </w:p>
        </w:tc>
        <w:tc>
          <w:tcPr>
            <w:tcW w:w="865" w:type="pct"/>
            <w:tcBorders>
              <w:top w:val="nil"/>
              <w:left w:val="nil"/>
              <w:bottom w:val="single" w:sz="4" w:space="0" w:color="auto"/>
              <w:right w:val="single" w:sz="4" w:space="0" w:color="auto"/>
            </w:tcBorders>
            <w:shd w:val="clear" w:color="000000" w:fill="CCFFFF"/>
            <w:noWrap/>
            <w:vAlign w:val="center"/>
            <w:hideMark/>
          </w:tcPr>
          <w:p w:rsidR="001E1770" w:rsidRPr="001E1770" w:rsidRDefault="001E1770" w:rsidP="001E1770">
            <w:pPr>
              <w:jc w:val="center"/>
              <w:rPr>
                <w:sz w:val="22"/>
                <w:szCs w:val="22"/>
              </w:rPr>
            </w:pPr>
            <w:r w:rsidRPr="001E1770">
              <w:rPr>
                <w:sz w:val="22"/>
                <w:szCs w:val="22"/>
              </w:rPr>
              <w:t>300-2450</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auto" w:fill="auto"/>
            <w:noWrap/>
            <w:vAlign w:val="center"/>
            <w:hideMark/>
          </w:tcPr>
          <w:p w:rsidR="001E1770" w:rsidRPr="001E1770" w:rsidRDefault="001E1770" w:rsidP="001E1770">
            <w:pPr>
              <w:rPr>
                <w:sz w:val="22"/>
                <w:szCs w:val="22"/>
              </w:rPr>
            </w:pPr>
            <w:r w:rsidRPr="001E1770">
              <w:rPr>
                <w:sz w:val="22"/>
                <w:szCs w:val="22"/>
              </w:rPr>
              <w:t>Другие</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544</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472</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400</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469</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464</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sz w:val="22"/>
                <w:szCs w:val="22"/>
              </w:rPr>
            </w:pPr>
            <w:r w:rsidRPr="001E1770">
              <w:rPr>
                <w:sz w:val="22"/>
                <w:szCs w:val="22"/>
              </w:rPr>
              <w:t>488</w:t>
            </w:r>
          </w:p>
        </w:tc>
        <w:tc>
          <w:tcPr>
            <w:tcW w:w="865" w:type="pct"/>
            <w:tcBorders>
              <w:top w:val="nil"/>
              <w:left w:val="nil"/>
              <w:bottom w:val="single" w:sz="4" w:space="0" w:color="auto"/>
              <w:right w:val="single" w:sz="4" w:space="0" w:color="auto"/>
            </w:tcBorders>
            <w:shd w:val="clear" w:color="000000" w:fill="CCFFFF"/>
            <w:noWrap/>
            <w:vAlign w:val="center"/>
            <w:hideMark/>
          </w:tcPr>
          <w:p w:rsidR="001E1770" w:rsidRPr="001E1770" w:rsidRDefault="001E1770" w:rsidP="001E1770">
            <w:pPr>
              <w:jc w:val="center"/>
              <w:rPr>
                <w:sz w:val="22"/>
                <w:szCs w:val="22"/>
              </w:rPr>
            </w:pPr>
            <w:r w:rsidRPr="001E1770">
              <w:rPr>
                <w:sz w:val="22"/>
                <w:szCs w:val="22"/>
              </w:rPr>
              <w:t>267-720</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auto" w:fill="auto"/>
            <w:vAlign w:val="center"/>
            <w:hideMark/>
          </w:tcPr>
          <w:p w:rsidR="001E1770" w:rsidRPr="001E1770" w:rsidRDefault="001E1770" w:rsidP="001E1770">
            <w:pPr>
              <w:rPr>
                <w:sz w:val="22"/>
                <w:szCs w:val="22"/>
              </w:rPr>
            </w:pPr>
            <w:r w:rsidRPr="001E1770">
              <w:rPr>
                <w:sz w:val="22"/>
                <w:szCs w:val="22"/>
              </w:rPr>
              <w:t>Средняя</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662</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689</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715</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691</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614</w:t>
            </w:r>
          </w:p>
        </w:tc>
        <w:tc>
          <w:tcPr>
            <w:tcW w:w="540" w:type="pct"/>
            <w:tcBorders>
              <w:top w:val="nil"/>
              <w:left w:val="nil"/>
              <w:bottom w:val="single" w:sz="4" w:space="0" w:color="auto"/>
              <w:right w:val="single" w:sz="4" w:space="0" w:color="auto"/>
            </w:tcBorders>
            <w:shd w:val="clear" w:color="auto" w:fill="auto"/>
            <w:noWrap/>
            <w:vAlign w:val="center"/>
            <w:hideMark/>
          </w:tcPr>
          <w:p w:rsidR="001E1770" w:rsidRPr="001E1770" w:rsidRDefault="001E1770" w:rsidP="001E1770">
            <w:pPr>
              <w:jc w:val="center"/>
              <w:rPr>
                <w:b/>
                <w:bCs/>
                <w:sz w:val="22"/>
                <w:szCs w:val="22"/>
              </w:rPr>
            </w:pPr>
            <w:r w:rsidRPr="001E1770">
              <w:rPr>
                <w:b/>
                <w:bCs/>
                <w:sz w:val="22"/>
                <w:szCs w:val="22"/>
              </w:rPr>
              <w:t>633</w:t>
            </w:r>
          </w:p>
        </w:tc>
        <w:tc>
          <w:tcPr>
            <w:tcW w:w="865" w:type="pct"/>
            <w:tcBorders>
              <w:top w:val="nil"/>
              <w:left w:val="nil"/>
              <w:bottom w:val="single" w:sz="4" w:space="0" w:color="auto"/>
              <w:right w:val="single" w:sz="4" w:space="0" w:color="auto"/>
            </w:tcBorders>
            <w:shd w:val="clear" w:color="000000" w:fill="CCFFFF"/>
            <w:vAlign w:val="center"/>
            <w:hideMark/>
          </w:tcPr>
          <w:p w:rsidR="001E1770" w:rsidRPr="001E1770" w:rsidRDefault="001E1770" w:rsidP="001E1770">
            <w:pPr>
              <w:jc w:val="center"/>
              <w:rPr>
                <w:sz w:val="22"/>
                <w:szCs w:val="22"/>
              </w:rPr>
            </w:pPr>
            <w:r w:rsidRPr="001E1770">
              <w:rPr>
                <w:sz w:val="22"/>
                <w:szCs w:val="22"/>
              </w:rPr>
              <w:t>200-2450</w:t>
            </w:r>
          </w:p>
        </w:tc>
      </w:tr>
      <w:tr w:rsidR="001E1770" w:rsidRPr="001E1770" w:rsidTr="001E1770">
        <w:trPr>
          <w:trHeight w:val="20"/>
        </w:trPr>
        <w:tc>
          <w:tcPr>
            <w:tcW w:w="897" w:type="pct"/>
            <w:tcBorders>
              <w:top w:val="nil"/>
              <w:left w:val="single" w:sz="4" w:space="0" w:color="auto"/>
              <w:bottom w:val="single" w:sz="4" w:space="0" w:color="auto"/>
              <w:right w:val="single" w:sz="4" w:space="0" w:color="auto"/>
            </w:tcBorders>
            <w:shd w:val="clear" w:color="000000" w:fill="FFFF99"/>
            <w:vAlign w:val="center"/>
            <w:hideMark/>
          </w:tcPr>
          <w:p w:rsidR="001E1770" w:rsidRPr="001E1770" w:rsidRDefault="001E1770" w:rsidP="001E1770">
            <w:pPr>
              <w:rPr>
                <w:sz w:val="22"/>
                <w:szCs w:val="22"/>
              </w:rPr>
            </w:pPr>
            <w:r w:rsidRPr="001E1770">
              <w:rPr>
                <w:sz w:val="22"/>
                <w:szCs w:val="22"/>
              </w:rPr>
              <w:t>Изменение</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114%</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119%</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124%</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119%</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106%</w:t>
            </w:r>
          </w:p>
        </w:tc>
        <w:tc>
          <w:tcPr>
            <w:tcW w:w="540" w:type="pct"/>
            <w:tcBorders>
              <w:top w:val="nil"/>
              <w:left w:val="nil"/>
              <w:bottom w:val="single" w:sz="4" w:space="0" w:color="auto"/>
              <w:right w:val="single" w:sz="4" w:space="0" w:color="auto"/>
            </w:tcBorders>
            <w:shd w:val="clear" w:color="000000" w:fill="FFFF99"/>
            <w:vAlign w:val="center"/>
            <w:hideMark/>
          </w:tcPr>
          <w:p w:rsidR="001E1770" w:rsidRPr="001E1770" w:rsidRDefault="001E1770" w:rsidP="001E1770">
            <w:pPr>
              <w:jc w:val="center"/>
              <w:rPr>
                <w:b/>
                <w:bCs/>
                <w:sz w:val="22"/>
                <w:szCs w:val="22"/>
              </w:rPr>
            </w:pPr>
            <w:r w:rsidRPr="001E1770">
              <w:rPr>
                <w:b/>
                <w:bCs/>
                <w:sz w:val="22"/>
                <w:szCs w:val="22"/>
              </w:rPr>
              <w:t>109%</w:t>
            </w:r>
          </w:p>
        </w:tc>
        <w:tc>
          <w:tcPr>
            <w:tcW w:w="865" w:type="pct"/>
            <w:tcBorders>
              <w:top w:val="nil"/>
              <w:left w:val="nil"/>
              <w:bottom w:val="single" w:sz="4" w:space="0" w:color="auto"/>
              <w:right w:val="single" w:sz="4" w:space="0" w:color="auto"/>
            </w:tcBorders>
            <w:shd w:val="clear" w:color="000000" w:fill="CCFFCC"/>
            <w:vAlign w:val="center"/>
            <w:hideMark/>
          </w:tcPr>
          <w:p w:rsidR="001E1770" w:rsidRPr="001E1770" w:rsidRDefault="001E1770" w:rsidP="001E1770">
            <w:pPr>
              <w:jc w:val="center"/>
              <w:rPr>
                <w:b/>
                <w:bCs/>
                <w:sz w:val="22"/>
                <w:szCs w:val="22"/>
              </w:rPr>
            </w:pPr>
            <w:r w:rsidRPr="001E1770">
              <w:rPr>
                <w:b/>
                <w:bCs/>
                <w:sz w:val="22"/>
                <w:szCs w:val="22"/>
              </w:rPr>
              <w:t>-</w:t>
            </w:r>
          </w:p>
        </w:tc>
      </w:tr>
    </w:tbl>
    <w:p w:rsidR="006E1540" w:rsidRDefault="006E1540" w:rsidP="000F4134">
      <w:pPr>
        <w:jc w:val="both"/>
        <w:rPr>
          <w:spacing w:val="-6"/>
        </w:rPr>
      </w:pPr>
    </w:p>
    <w:p w:rsidR="00D74008" w:rsidRPr="003C4F54" w:rsidRDefault="00D74008" w:rsidP="00D74008">
      <w:pPr>
        <w:pStyle w:val="aa"/>
        <w:jc w:val="center"/>
        <w:rPr>
          <w:b w:val="0"/>
          <w:i/>
          <w:spacing w:val="-6"/>
          <w:sz w:val="24"/>
          <w:szCs w:val="24"/>
        </w:rPr>
      </w:pPr>
      <w:r w:rsidRPr="003C4F54">
        <w:rPr>
          <w:b w:val="0"/>
          <w:i/>
          <w:sz w:val="24"/>
          <w:szCs w:val="24"/>
        </w:rPr>
        <w:t xml:space="preserve">Таблица </w:t>
      </w:r>
      <w:r w:rsidR="00671BD2" w:rsidRPr="003C4F54">
        <w:rPr>
          <w:b w:val="0"/>
          <w:i/>
          <w:sz w:val="24"/>
          <w:szCs w:val="24"/>
        </w:rPr>
        <w:fldChar w:fldCharType="begin"/>
      </w:r>
      <w:r w:rsidRPr="003C4F54">
        <w:rPr>
          <w:b w:val="0"/>
          <w:i/>
          <w:sz w:val="24"/>
          <w:szCs w:val="24"/>
        </w:rPr>
        <w:instrText xml:space="preserve"> SEQ Таблица \* ARABIC </w:instrText>
      </w:r>
      <w:r w:rsidR="00671BD2" w:rsidRPr="003C4F54">
        <w:rPr>
          <w:b w:val="0"/>
          <w:i/>
          <w:sz w:val="24"/>
          <w:szCs w:val="24"/>
        </w:rPr>
        <w:fldChar w:fldCharType="separate"/>
      </w:r>
      <w:r w:rsidR="00740491">
        <w:rPr>
          <w:b w:val="0"/>
          <w:i/>
          <w:noProof/>
          <w:sz w:val="24"/>
          <w:szCs w:val="24"/>
        </w:rPr>
        <w:t>2</w:t>
      </w:r>
      <w:r w:rsidR="00671BD2" w:rsidRPr="003C4F54">
        <w:rPr>
          <w:b w:val="0"/>
          <w:i/>
          <w:sz w:val="24"/>
          <w:szCs w:val="24"/>
        </w:rPr>
        <w:fldChar w:fldCharType="end"/>
      </w:r>
      <w:r w:rsidRPr="003C4F54">
        <w:rPr>
          <w:b w:val="0"/>
          <w:i/>
          <w:sz w:val="24"/>
          <w:szCs w:val="24"/>
        </w:rPr>
        <w:t xml:space="preserve"> – </w:t>
      </w:r>
      <w:r w:rsidR="00415C26">
        <w:rPr>
          <w:b w:val="0"/>
          <w:i/>
          <w:sz w:val="24"/>
          <w:szCs w:val="24"/>
        </w:rPr>
        <w:t>Краткосрочная д</w:t>
      </w:r>
      <w:r w:rsidRPr="003C4F54">
        <w:rPr>
          <w:b w:val="0"/>
          <w:i/>
          <w:sz w:val="24"/>
          <w:szCs w:val="24"/>
        </w:rPr>
        <w:t xml:space="preserve">инамика </w:t>
      </w:r>
      <w:r w:rsidR="001241F1" w:rsidRPr="003C4F54">
        <w:rPr>
          <w:b w:val="0"/>
          <w:i/>
          <w:sz w:val="24"/>
          <w:szCs w:val="24"/>
        </w:rPr>
        <w:t xml:space="preserve">средних </w:t>
      </w:r>
      <w:r w:rsidRPr="003C4F54">
        <w:rPr>
          <w:b w:val="0"/>
          <w:i/>
          <w:spacing w:val="-6"/>
          <w:sz w:val="24"/>
          <w:szCs w:val="24"/>
        </w:rPr>
        <w:t>цен предложений аренды</w:t>
      </w:r>
      <w:r w:rsidRPr="003C4F54">
        <w:rPr>
          <w:b w:val="0"/>
          <w:i/>
          <w:sz w:val="24"/>
          <w:szCs w:val="24"/>
        </w:rPr>
        <w:t xml:space="preserve"> торговой недвижимости</w:t>
      </w:r>
      <w:r w:rsidR="007471E7">
        <w:rPr>
          <w:b w:val="0"/>
          <w:i/>
          <w:sz w:val="24"/>
          <w:szCs w:val="24"/>
        </w:rPr>
        <w:t>, руб./кв</w:t>
      </w:r>
      <w:proofErr w:type="gramStart"/>
      <w:r w:rsidR="007471E7">
        <w:rPr>
          <w:b w:val="0"/>
          <w:i/>
          <w:sz w:val="24"/>
          <w:szCs w:val="24"/>
        </w:rPr>
        <w:t>.м</w:t>
      </w:r>
      <w:proofErr w:type="gramEnd"/>
    </w:p>
    <w:p w:rsidR="00D74008" w:rsidRDefault="00D74008" w:rsidP="00D74008">
      <w:pPr>
        <w:ind w:firstLine="709"/>
        <w:jc w:val="both"/>
      </w:pPr>
      <w:r w:rsidRPr="003C4F54">
        <w:t xml:space="preserve">Таблица 2 свидетельствует о том, что на рынке аренды торговой недвижимости наибольшие значения цен предложений аренды зафиксированы в </w:t>
      </w:r>
      <w:r w:rsidR="0076224F">
        <w:rPr>
          <w:spacing w:val="-8"/>
        </w:rPr>
        <w:t>Центре</w:t>
      </w:r>
      <w:r w:rsidRPr="003C4F54">
        <w:t xml:space="preserve">, а наименьшие – в </w:t>
      </w:r>
      <w:r w:rsidR="00CF7FDC">
        <w:t>Других районах</w:t>
      </w:r>
      <w:r w:rsidRPr="003C4F54">
        <w:t>.</w:t>
      </w:r>
    </w:p>
    <w:p w:rsidR="00B56402" w:rsidRDefault="00415C26" w:rsidP="008B269C">
      <w:pPr>
        <w:ind w:firstLine="709"/>
        <w:jc w:val="both"/>
      </w:pPr>
      <w:r>
        <w:t>Краткосрочная д</w:t>
      </w:r>
      <w:r w:rsidR="00D74008" w:rsidRPr="00050A6E">
        <w:t>инамик</w:t>
      </w:r>
      <w:r w:rsidR="00D74008">
        <w:t>а</w:t>
      </w:r>
      <w:r w:rsidR="00D74008" w:rsidRPr="00050A6E">
        <w:t xml:space="preserve"> </w:t>
      </w:r>
      <w:r w:rsidR="00D74008">
        <w:t>средней цены предложений аренды</w:t>
      </w:r>
      <w:r w:rsidR="00D74008" w:rsidRPr="00050A6E">
        <w:t xml:space="preserve"> </w:t>
      </w:r>
      <w:r w:rsidR="00D74008">
        <w:t>торговой</w:t>
      </w:r>
      <w:r w:rsidR="00D74008" w:rsidRPr="00050A6E">
        <w:t xml:space="preserve"> недвижимости</w:t>
      </w:r>
      <w:r w:rsidR="00D74008">
        <w:t>, выраженная в руб., в графическом виде представлена на</w:t>
      </w:r>
      <w:r w:rsidR="00D74008" w:rsidRPr="00050A6E">
        <w:t xml:space="preserve"> </w:t>
      </w:r>
      <w:r w:rsidR="00D74008">
        <w:t>рисунке 1</w:t>
      </w:r>
      <w:r w:rsidR="00160B53">
        <w:t>4</w:t>
      </w:r>
      <w:r w:rsidR="00D74008">
        <w:t>.</w:t>
      </w:r>
    </w:p>
    <w:p w:rsidR="00D74008" w:rsidRPr="00415C26" w:rsidRDefault="001E1770" w:rsidP="00D74008">
      <w:pPr>
        <w:ind w:firstLine="540"/>
        <w:jc w:val="center"/>
      </w:pPr>
      <w:r w:rsidRPr="001E1770">
        <w:lastRenderedPageBreak/>
        <w:drawing>
          <wp:inline distT="0" distB="0" distL="0" distR="0">
            <wp:extent cx="5990036" cy="2301875"/>
            <wp:effectExtent l="19050" t="0" r="10714" b="3175"/>
            <wp:docPr id="13"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56402" w:rsidRPr="006E3113" w:rsidRDefault="00D74008" w:rsidP="006E3113">
      <w:pPr>
        <w:pStyle w:val="aa"/>
        <w:ind w:firstLine="540"/>
        <w:jc w:val="center"/>
        <w:rPr>
          <w:b w:val="0"/>
          <w:i/>
          <w:sz w:val="24"/>
          <w:szCs w:val="24"/>
        </w:rPr>
      </w:pPr>
      <w:r w:rsidRPr="0066391A">
        <w:rPr>
          <w:b w:val="0"/>
          <w:i/>
          <w:sz w:val="24"/>
          <w:szCs w:val="24"/>
        </w:rPr>
        <w:t xml:space="preserve">Рисунок </w:t>
      </w:r>
      <w:r>
        <w:rPr>
          <w:b w:val="0"/>
          <w:i/>
          <w:sz w:val="24"/>
          <w:szCs w:val="24"/>
        </w:rPr>
        <w:t>1</w:t>
      </w:r>
      <w:r w:rsidR="00160B53">
        <w:rPr>
          <w:b w:val="0"/>
          <w:i/>
          <w:sz w:val="24"/>
          <w:szCs w:val="24"/>
        </w:rPr>
        <w:t>4</w:t>
      </w:r>
      <w:r w:rsidRPr="0066391A">
        <w:rPr>
          <w:b w:val="0"/>
          <w:i/>
          <w:sz w:val="24"/>
          <w:szCs w:val="24"/>
        </w:rPr>
        <w:t xml:space="preserve"> – </w:t>
      </w:r>
      <w:r w:rsidR="00415C26">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руб.</w:t>
      </w:r>
    </w:p>
    <w:p w:rsidR="00D74008" w:rsidRDefault="00415C26" w:rsidP="00D74008">
      <w:pPr>
        <w:ind w:firstLine="709"/>
        <w:jc w:val="both"/>
      </w:pPr>
      <w:r>
        <w:t>Краткосрочная д</w:t>
      </w:r>
      <w:r w:rsidR="00D74008" w:rsidRPr="00050A6E">
        <w:t>инамик</w:t>
      </w:r>
      <w:r w:rsidR="00D74008">
        <w:t>а</w:t>
      </w:r>
      <w:r w:rsidR="00D74008" w:rsidRPr="00050A6E">
        <w:t xml:space="preserve"> </w:t>
      </w:r>
      <w:r w:rsidR="00D74008">
        <w:t>средней цены предложений аренды</w:t>
      </w:r>
      <w:r w:rsidR="00D74008" w:rsidRPr="00050A6E">
        <w:t xml:space="preserve"> </w:t>
      </w:r>
      <w:r w:rsidR="00D74008">
        <w:t>торговой</w:t>
      </w:r>
      <w:r w:rsidR="00D74008" w:rsidRPr="00050A6E">
        <w:t xml:space="preserve"> недвижимости</w:t>
      </w:r>
      <w:r w:rsidR="00D74008">
        <w:t>, выраженная в процентах, в графическом виде представлена на</w:t>
      </w:r>
      <w:r w:rsidR="00D74008" w:rsidRPr="00050A6E">
        <w:t xml:space="preserve"> </w:t>
      </w:r>
      <w:r w:rsidR="00D74008">
        <w:t>рисунке</w:t>
      </w:r>
      <w:r w:rsidR="00D74008" w:rsidRPr="00B03E52">
        <w:t xml:space="preserve"> </w:t>
      </w:r>
      <w:r w:rsidR="00D74008">
        <w:t>1</w:t>
      </w:r>
      <w:r w:rsidR="00160B53">
        <w:t>5</w:t>
      </w:r>
      <w:r w:rsidR="00D74008" w:rsidRPr="00B03E52">
        <w:t>.</w:t>
      </w:r>
    </w:p>
    <w:p w:rsidR="00D74008" w:rsidRPr="00415C26" w:rsidRDefault="001E1770" w:rsidP="00D74008">
      <w:pPr>
        <w:ind w:firstLine="540"/>
        <w:jc w:val="center"/>
      </w:pPr>
      <w:r w:rsidRPr="001E1770">
        <w:drawing>
          <wp:inline distT="0" distB="0" distL="0" distR="0">
            <wp:extent cx="6015434" cy="2301875"/>
            <wp:effectExtent l="19050" t="0" r="23416" b="3175"/>
            <wp:docPr id="14"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74008" w:rsidRPr="008B269C" w:rsidRDefault="00D74008" w:rsidP="008B269C">
      <w:pPr>
        <w:pStyle w:val="aa"/>
        <w:jc w:val="center"/>
        <w:rPr>
          <w:b w:val="0"/>
          <w:i/>
          <w:sz w:val="24"/>
          <w:szCs w:val="24"/>
        </w:rPr>
      </w:pPr>
      <w:r w:rsidRPr="00896418">
        <w:rPr>
          <w:b w:val="0"/>
          <w:i/>
          <w:sz w:val="24"/>
          <w:szCs w:val="24"/>
        </w:rPr>
        <w:t xml:space="preserve">Рисунок </w:t>
      </w:r>
      <w:r>
        <w:rPr>
          <w:b w:val="0"/>
          <w:i/>
          <w:sz w:val="24"/>
          <w:szCs w:val="24"/>
        </w:rPr>
        <w:t>1</w:t>
      </w:r>
      <w:r w:rsidR="00160B53">
        <w:rPr>
          <w:b w:val="0"/>
          <w:i/>
          <w:sz w:val="24"/>
          <w:szCs w:val="24"/>
        </w:rPr>
        <w:t>5</w:t>
      </w:r>
      <w:r w:rsidRPr="00896418">
        <w:rPr>
          <w:b w:val="0"/>
          <w:i/>
          <w:sz w:val="24"/>
          <w:szCs w:val="24"/>
        </w:rPr>
        <w:t xml:space="preserve"> – </w:t>
      </w:r>
      <w:r w:rsidR="00415C26">
        <w:rPr>
          <w:b w:val="0"/>
          <w:i/>
          <w:sz w:val="24"/>
          <w:szCs w:val="24"/>
        </w:rPr>
        <w:t>Краткосрочная д</w:t>
      </w:r>
      <w:r w:rsidRPr="00C11E72">
        <w:rPr>
          <w:b w:val="0"/>
          <w:i/>
          <w:sz w:val="24"/>
          <w:szCs w:val="24"/>
        </w:rPr>
        <w:t xml:space="preserve">инамика средней цены предложений </w:t>
      </w:r>
      <w:r>
        <w:rPr>
          <w:b w:val="0"/>
          <w:i/>
          <w:sz w:val="24"/>
          <w:szCs w:val="24"/>
        </w:rPr>
        <w:t>аренды</w:t>
      </w:r>
      <w:r w:rsidRPr="00C11E72">
        <w:rPr>
          <w:b w:val="0"/>
          <w:i/>
          <w:sz w:val="24"/>
          <w:szCs w:val="24"/>
        </w:rPr>
        <w:t xml:space="preserve"> 1 к</w:t>
      </w:r>
      <w:r>
        <w:rPr>
          <w:b w:val="0"/>
          <w:i/>
          <w:sz w:val="24"/>
          <w:szCs w:val="24"/>
        </w:rPr>
        <w:t>в</w:t>
      </w:r>
      <w:proofErr w:type="gramStart"/>
      <w:r w:rsidRPr="00C11E72">
        <w:rPr>
          <w:b w:val="0"/>
          <w:i/>
          <w:sz w:val="24"/>
          <w:szCs w:val="24"/>
        </w:rPr>
        <w:t>.м</w:t>
      </w:r>
      <w:proofErr w:type="gramEnd"/>
      <w:r>
        <w:rPr>
          <w:b w:val="0"/>
          <w:i/>
          <w:sz w:val="24"/>
          <w:szCs w:val="24"/>
        </w:rPr>
        <w:t>/мес.</w:t>
      </w:r>
      <w:r w:rsidRPr="00C11E72">
        <w:rPr>
          <w:b w:val="0"/>
          <w:i/>
          <w:sz w:val="24"/>
          <w:szCs w:val="24"/>
        </w:rPr>
        <w:t xml:space="preserve"> </w:t>
      </w:r>
      <w:r>
        <w:rPr>
          <w:b w:val="0"/>
          <w:i/>
          <w:sz w:val="24"/>
          <w:szCs w:val="24"/>
        </w:rPr>
        <w:t>торговой</w:t>
      </w:r>
      <w:r w:rsidRPr="00C11E72">
        <w:rPr>
          <w:b w:val="0"/>
          <w:i/>
          <w:sz w:val="24"/>
          <w:szCs w:val="24"/>
        </w:rPr>
        <w:t xml:space="preserve"> недвижимости в </w:t>
      </w:r>
      <w:r>
        <w:rPr>
          <w:b w:val="0"/>
          <w:i/>
          <w:sz w:val="24"/>
          <w:szCs w:val="24"/>
        </w:rPr>
        <w:t>%</w:t>
      </w:r>
    </w:p>
    <w:p w:rsidR="00F41BC8" w:rsidRPr="00386637" w:rsidRDefault="00F41BC8" w:rsidP="00F41BC8">
      <w:pPr>
        <w:ind w:firstLine="709"/>
        <w:jc w:val="both"/>
        <w:rPr>
          <w:spacing w:val="-8"/>
        </w:rPr>
      </w:pPr>
      <w:proofErr w:type="gramStart"/>
      <w:r w:rsidRPr="00386637">
        <w:t xml:space="preserve">Скидка на торг, согласно данным </w:t>
      </w:r>
      <w:r>
        <w:t>исследования «Коллективные экспертные оценки характеристик рынка недвижимости»</w:t>
      </w:r>
      <w:r>
        <w:rPr>
          <w:rStyle w:val="a6"/>
        </w:rPr>
        <w:footnoteReference w:customMarkFollows="1" w:id="4"/>
        <w:t>*</w:t>
      </w:r>
      <w:r w:rsidRPr="00386637">
        <w:t>,</w:t>
      </w:r>
      <w:r>
        <w:t xml:space="preserve"> при сделках с </w:t>
      </w:r>
      <w:proofErr w:type="spellStart"/>
      <w:r>
        <w:t>офисно-торговой</w:t>
      </w:r>
      <w:proofErr w:type="spellEnd"/>
      <w:r>
        <w:t xml:space="preserve"> недвижимостью находится в диапазоне </w:t>
      </w:r>
      <w:r w:rsidR="00AE3873">
        <w:t>5,3</w:t>
      </w:r>
      <w:r>
        <w:t xml:space="preserve"> – </w:t>
      </w:r>
      <w:r w:rsidR="0057601B">
        <w:t>2</w:t>
      </w:r>
      <w:r w:rsidR="00AE3873">
        <w:t>7,2</w:t>
      </w:r>
      <w:r w:rsidRPr="00140416">
        <w:t>%</w:t>
      </w:r>
      <w:r>
        <w:t xml:space="preserve"> при продаже и </w:t>
      </w:r>
      <w:r w:rsidR="00AE3873">
        <w:t>4,5</w:t>
      </w:r>
      <w:r>
        <w:t xml:space="preserve"> – </w:t>
      </w:r>
      <w:r w:rsidR="00AE3873">
        <w:t>23,7</w:t>
      </w:r>
      <w:r>
        <w:t xml:space="preserve">% при сдаче в аренду, </w:t>
      </w:r>
      <w:r w:rsidRPr="00386637">
        <w:t xml:space="preserve">что </w:t>
      </w:r>
      <w:proofErr w:type="spellStart"/>
      <w:r w:rsidRPr="00386637">
        <w:t>коррелирует</w:t>
      </w:r>
      <w:proofErr w:type="spellEnd"/>
      <w:r w:rsidRPr="00386637">
        <w:t xml:space="preserve"> с данными ставропольских </w:t>
      </w:r>
      <w:proofErr w:type="spellStart"/>
      <w:r w:rsidRPr="00386637">
        <w:t>риэлтеров</w:t>
      </w:r>
      <w:proofErr w:type="spellEnd"/>
      <w:r>
        <w:rPr>
          <w:rStyle w:val="a6"/>
        </w:rPr>
        <w:footnoteReference w:customMarkFollows="1" w:id="5"/>
        <w:t>**</w:t>
      </w:r>
      <w:r w:rsidRPr="00386637">
        <w:rPr>
          <w:spacing w:val="-8"/>
        </w:rPr>
        <w:t xml:space="preserve">, </w:t>
      </w:r>
      <w:r w:rsidRPr="002F4157">
        <w:t xml:space="preserve">которые говорят о скидке на торг при совершении сделки с нежилой недвижимостью в пределах </w:t>
      </w:r>
      <w:r>
        <w:t xml:space="preserve">5 – </w:t>
      </w:r>
      <w:r w:rsidR="0057601B">
        <w:t>30</w:t>
      </w:r>
      <w:r w:rsidRPr="002F4157">
        <w:t>%.</w:t>
      </w:r>
      <w:proofErr w:type="gramEnd"/>
    </w:p>
    <w:p w:rsidR="00E655C8" w:rsidRDefault="00E655C8" w:rsidP="00D74008">
      <w:pPr>
        <w:jc w:val="both"/>
        <w:rPr>
          <w:i/>
        </w:rPr>
      </w:pPr>
    </w:p>
    <w:p w:rsidR="00D74008" w:rsidRDefault="00D74008" w:rsidP="00D74008">
      <w:pPr>
        <w:jc w:val="both"/>
        <w:rPr>
          <w:i/>
        </w:rPr>
      </w:pPr>
      <w:r>
        <w:rPr>
          <w:i/>
        </w:rPr>
        <w:t>Источники данных:</w:t>
      </w:r>
    </w:p>
    <w:p w:rsidR="00D74008" w:rsidRDefault="00D74008" w:rsidP="00D74008">
      <w:pPr>
        <w:jc w:val="both"/>
        <w:rPr>
          <w:i/>
        </w:rPr>
      </w:pPr>
      <w:r>
        <w:rPr>
          <w:i/>
        </w:rPr>
        <w:t xml:space="preserve">- Еженедельная газета «Все для вас», </w:t>
      </w:r>
      <w:r>
        <w:rPr>
          <w:i/>
          <w:lang w:val="en-US"/>
        </w:rPr>
        <w:t>www</w:t>
      </w:r>
      <w:r w:rsidRPr="00F06982">
        <w:rPr>
          <w:i/>
        </w:rPr>
        <w:t>.</w:t>
      </w:r>
      <w:proofErr w:type="spellStart"/>
      <w:r>
        <w:rPr>
          <w:i/>
          <w:lang w:val="en-US"/>
        </w:rPr>
        <w:t>vdv</w:t>
      </w:r>
      <w:proofErr w:type="spellEnd"/>
      <w:r w:rsidRPr="00F06982">
        <w:rPr>
          <w:i/>
        </w:rPr>
        <w:t>-</w:t>
      </w:r>
      <w:proofErr w:type="spellStart"/>
      <w:r>
        <w:rPr>
          <w:i/>
          <w:lang w:val="en-US"/>
        </w:rPr>
        <w:t>kavkaz</w:t>
      </w:r>
      <w:proofErr w:type="spellEnd"/>
      <w:r w:rsidRPr="00F06982">
        <w:rPr>
          <w:i/>
        </w:rPr>
        <w:t>.</w:t>
      </w:r>
      <w:proofErr w:type="spellStart"/>
      <w:r>
        <w:rPr>
          <w:i/>
          <w:lang w:val="en-US"/>
        </w:rPr>
        <w:t>ru</w:t>
      </w:r>
      <w:proofErr w:type="spellEnd"/>
    </w:p>
    <w:p w:rsidR="00D74008" w:rsidRPr="00F06982" w:rsidRDefault="00D74008" w:rsidP="00D74008">
      <w:pPr>
        <w:jc w:val="both"/>
        <w:rPr>
          <w:i/>
        </w:rPr>
      </w:pPr>
      <w:r>
        <w:rPr>
          <w:i/>
        </w:rPr>
        <w:t xml:space="preserve">- Городской сайт недвижимости </w:t>
      </w:r>
      <w:r>
        <w:rPr>
          <w:i/>
          <w:lang w:val="en-US"/>
        </w:rPr>
        <w:t>www</w:t>
      </w:r>
      <w:r w:rsidRPr="00F06982">
        <w:rPr>
          <w:i/>
        </w:rPr>
        <w:t>.1777.</w:t>
      </w:r>
      <w:proofErr w:type="spellStart"/>
      <w:r>
        <w:rPr>
          <w:i/>
          <w:lang w:val="en-US"/>
        </w:rPr>
        <w:t>ru</w:t>
      </w:r>
      <w:proofErr w:type="spellEnd"/>
    </w:p>
    <w:p w:rsidR="00D74008" w:rsidRDefault="00D74008" w:rsidP="00D74008">
      <w:pPr>
        <w:rPr>
          <w:i/>
        </w:rPr>
      </w:pPr>
    </w:p>
    <w:tbl>
      <w:tblPr>
        <w:tblW w:w="5000" w:type="pct"/>
        <w:tblLook w:val="01E0"/>
      </w:tblPr>
      <w:tblGrid>
        <w:gridCol w:w="5920"/>
        <w:gridCol w:w="4376"/>
      </w:tblGrid>
      <w:tr w:rsidR="006F694C" w:rsidRPr="00277019" w:rsidTr="00954EF3">
        <w:tc>
          <w:tcPr>
            <w:tcW w:w="2875" w:type="pct"/>
            <w:vAlign w:val="center"/>
          </w:tcPr>
          <w:p w:rsidR="006F694C" w:rsidRPr="00277019" w:rsidRDefault="006F694C" w:rsidP="00954EF3">
            <w:pPr>
              <w:rPr>
                <w:i/>
              </w:rPr>
            </w:pPr>
            <w:r w:rsidRPr="00277019">
              <w:rPr>
                <w:i/>
              </w:rPr>
              <w:t>Исполнитель:</w:t>
            </w:r>
          </w:p>
        </w:tc>
        <w:tc>
          <w:tcPr>
            <w:tcW w:w="2125" w:type="pct"/>
            <w:vAlign w:val="center"/>
          </w:tcPr>
          <w:p w:rsidR="006F694C" w:rsidRPr="00277019" w:rsidRDefault="006F694C" w:rsidP="00954EF3">
            <w:pPr>
              <w:rPr>
                <w:i/>
              </w:rPr>
            </w:pPr>
            <w:proofErr w:type="spellStart"/>
            <w:r>
              <w:rPr>
                <w:i/>
              </w:rPr>
              <w:t>Валиуллин</w:t>
            </w:r>
            <w:proofErr w:type="spellEnd"/>
            <w:r>
              <w:rPr>
                <w:i/>
              </w:rPr>
              <w:t xml:space="preserve"> </w:t>
            </w:r>
            <w:proofErr w:type="spellStart"/>
            <w:r>
              <w:rPr>
                <w:i/>
              </w:rPr>
              <w:t>Айрат</w:t>
            </w:r>
            <w:proofErr w:type="spellEnd"/>
          </w:p>
        </w:tc>
      </w:tr>
    </w:tbl>
    <w:p w:rsidR="0018271E" w:rsidRDefault="00D74008" w:rsidP="00D74008">
      <w:pPr>
        <w:jc w:val="both"/>
        <w:rPr>
          <w:i/>
        </w:rPr>
      </w:pPr>
      <w:r>
        <w:rPr>
          <w:i/>
        </w:rPr>
        <w:t xml:space="preserve">По интересующим вопросам обращаться </w:t>
      </w:r>
      <w:proofErr w:type="gramStart"/>
      <w:r>
        <w:rPr>
          <w:i/>
        </w:rPr>
        <w:t>по</w:t>
      </w:r>
      <w:proofErr w:type="gramEnd"/>
      <w:r>
        <w:rPr>
          <w:i/>
        </w:rPr>
        <w:t xml:space="preserve"> тел</w:t>
      </w:r>
      <w:r w:rsidR="00B267D4">
        <w:rPr>
          <w:i/>
        </w:rPr>
        <w:t xml:space="preserve">.: </w:t>
      </w:r>
      <w:r w:rsidR="00A56599">
        <w:rPr>
          <w:i/>
        </w:rPr>
        <w:t>(8652) 56-55-33; 8-962-442-33-65</w:t>
      </w:r>
    </w:p>
    <w:sectPr w:rsidR="0018271E" w:rsidSect="003F65BA">
      <w:headerReference w:type="default" r:id="rId22"/>
      <w:footerReference w:type="even" r:id="rId23"/>
      <w:footerReference w:type="default" r:id="rId24"/>
      <w:headerReference w:type="first" r:id="rId25"/>
      <w:footerReference w:type="first" r:id="rId26"/>
      <w:pgSz w:w="11906" w:h="16838"/>
      <w:pgMar w:top="540" w:right="746" w:bottom="1134" w:left="108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814" w:rsidRDefault="00723814">
      <w:r>
        <w:separator/>
      </w:r>
    </w:p>
  </w:endnote>
  <w:endnote w:type="continuationSeparator" w:id="0">
    <w:p w:rsidR="00723814" w:rsidRDefault="007238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Default="00671BD2" w:rsidP="008109DA">
    <w:pPr>
      <w:pStyle w:val="a7"/>
      <w:framePr w:wrap="around" w:vAnchor="text" w:hAnchor="margin" w:xAlign="right" w:y="1"/>
      <w:rPr>
        <w:rStyle w:val="a8"/>
      </w:rPr>
    </w:pPr>
    <w:r>
      <w:rPr>
        <w:rStyle w:val="a8"/>
      </w:rPr>
      <w:fldChar w:fldCharType="begin"/>
    </w:r>
    <w:r w:rsidR="00C66458">
      <w:rPr>
        <w:rStyle w:val="a8"/>
      </w:rPr>
      <w:instrText xml:space="preserve">PAGE  </w:instrText>
    </w:r>
    <w:r>
      <w:rPr>
        <w:rStyle w:val="a8"/>
      </w:rPr>
      <w:fldChar w:fldCharType="end"/>
    </w:r>
  </w:p>
  <w:p w:rsidR="00C66458" w:rsidRDefault="00C66458" w:rsidP="004448D1">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ind w:right="360"/>
      <w:jc w:val="right"/>
      <w:rPr>
        <w:i/>
      </w:rPr>
    </w:pPr>
    <w:r w:rsidRPr="00862393">
      <w:rPr>
        <w:i/>
      </w:rPr>
      <w:t xml:space="preserve">стр. </w:t>
    </w:r>
    <w:r w:rsidR="00671BD2" w:rsidRPr="00862393">
      <w:rPr>
        <w:i/>
      </w:rPr>
      <w:fldChar w:fldCharType="begin"/>
    </w:r>
    <w:r w:rsidRPr="00862393">
      <w:rPr>
        <w:i/>
      </w:rPr>
      <w:instrText xml:space="preserve"> PAGE </w:instrText>
    </w:r>
    <w:r w:rsidR="00671BD2" w:rsidRPr="00862393">
      <w:rPr>
        <w:i/>
      </w:rPr>
      <w:fldChar w:fldCharType="separate"/>
    </w:r>
    <w:r w:rsidR="001E1770">
      <w:rPr>
        <w:i/>
        <w:noProof/>
      </w:rPr>
      <w:t>8</w:t>
    </w:r>
    <w:r w:rsidR="00671BD2" w:rsidRPr="00862393">
      <w:rPr>
        <w:i/>
      </w:rPr>
      <w:fldChar w:fldCharType="end"/>
    </w:r>
    <w:r w:rsidRPr="00862393">
      <w:rPr>
        <w:i/>
      </w:rPr>
      <w:t xml:space="preserve"> из </w:t>
    </w:r>
    <w:r w:rsidR="00671BD2" w:rsidRPr="00862393">
      <w:rPr>
        <w:i/>
      </w:rPr>
      <w:fldChar w:fldCharType="begin"/>
    </w:r>
    <w:r w:rsidRPr="00862393">
      <w:rPr>
        <w:i/>
      </w:rPr>
      <w:instrText xml:space="preserve"> NUMPAGES </w:instrText>
    </w:r>
    <w:r w:rsidR="00671BD2" w:rsidRPr="00862393">
      <w:rPr>
        <w:i/>
      </w:rPr>
      <w:fldChar w:fldCharType="separate"/>
    </w:r>
    <w:r w:rsidR="001E1770">
      <w:rPr>
        <w:i/>
        <w:noProof/>
      </w:rPr>
      <w:t>8</w:t>
    </w:r>
    <w:r w:rsidR="00671BD2" w:rsidRPr="00862393">
      <w:rPr>
        <w:i/>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458" w:rsidRPr="00862393" w:rsidRDefault="00C66458" w:rsidP="00862393">
    <w:pPr>
      <w:pStyle w:val="a7"/>
      <w:jc w:val="right"/>
      <w:rPr>
        <w:i/>
      </w:rPr>
    </w:pPr>
    <w:r w:rsidRPr="00862393">
      <w:rPr>
        <w:i/>
      </w:rPr>
      <w:t xml:space="preserve">стр. </w:t>
    </w:r>
    <w:r w:rsidR="00671BD2" w:rsidRPr="00862393">
      <w:rPr>
        <w:i/>
      </w:rPr>
      <w:fldChar w:fldCharType="begin"/>
    </w:r>
    <w:r w:rsidRPr="00862393">
      <w:rPr>
        <w:i/>
      </w:rPr>
      <w:instrText xml:space="preserve"> PAGE </w:instrText>
    </w:r>
    <w:r w:rsidR="00671BD2" w:rsidRPr="00862393">
      <w:rPr>
        <w:i/>
      </w:rPr>
      <w:fldChar w:fldCharType="separate"/>
    </w:r>
    <w:r w:rsidR="00D109E1">
      <w:rPr>
        <w:i/>
        <w:noProof/>
      </w:rPr>
      <w:t>1</w:t>
    </w:r>
    <w:r w:rsidR="00671BD2" w:rsidRPr="00862393">
      <w:rPr>
        <w:i/>
      </w:rPr>
      <w:fldChar w:fldCharType="end"/>
    </w:r>
    <w:r w:rsidRPr="00862393">
      <w:rPr>
        <w:i/>
      </w:rPr>
      <w:t xml:space="preserve"> из </w:t>
    </w:r>
    <w:r w:rsidR="00671BD2" w:rsidRPr="00862393">
      <w:rPr>
        <w:i/>
      </w:rPr>
      <w:fldChar w:fldCharType="begin"/>
    </w:r>
    <w:r w:rsidRPr="00862393">
      <w:rPr>
        <w:i/>
      </w:rPr>
      <w:instrText xml:space="preserve"> NUMPAGES </w:instrText>
    </w:r>
    <w:r w:rsidR="00671BD2" w:rsidRPr="00862393">
      <w:rPr>
        <w:i/>
      </w:rPr>
      <w:fldChar w:fldCharType="separate"/>
    </w:r>
    <w:r w:rsidR="00D109E1">
      <w:rPr>
        <w:i/>
        <w:noProof/>
      </w:rPr>
      <w:t>8</w:t>
    </w:r>
    <w:r w:rsidR="00671BD2" w:rsidRPr="00862393">
      <w:rPr>
        <w: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814" w:rsidRDefault="00723814">
      <w:r>
        <w:separator/>
      </w:r>
    </w:p>
  </w:footnote>
  <w:footnote w:type="continuationSeparator" w:id="0">
    <w:p w:rsidR="00723814" w:rsidRDefault="00723814">
      <w:r>
        <w:continuationSeparator/>
      </w:r>
    </w:p>
  </w:footnote>
  <w:footnote w:id="1">
    <w:p w:rsidR="00D74008" w:rsidRDefault="00D74008" w:rsidP="00D74008">
      <w:pPr>
        <w:pStyle w:val="a4"/>
        <w:jc w:val="both"/>
      </w:pPr>
      <w:r>
        <w:rPr>
          <w:rStyle w:val="a6"/>
        </w:rPr>
        <w:t>*</w:t>
      </w:r>
      <w:r>
        <w:t xml:space="preserve"> </w:t>
      </w:r>
      <w:proofErr w:type="gramStart"/>
      <w:r>
        <w:t>в</w:t>
      </w:r>
      <w:r w:rsidRPr="001C3E4E">
        <w:rPr>
          <w:i/>
          <w:color w:val="000000"/>
        </w:rPr>
        <w:t>ыполнено в соответствии с методологией РГР (</w:t>
      </w:r>
      <w:proofErr w:type="spellStart"/>
      <w:r>
        <w:rPr>
          <w:i/>
          <w:color w:val="000000"/>
        </w:rPr>
        <w:t>Стерник</w:t>
      </w:r>
      <w:proofErr w:type="spellEnd"/>
      <w:r>
        <w:rPr>
          <w:i/>
          <w:color w:val="000000"/>
        </w:rPr>
        <w:t>, Г. М.</w:t>
      </w:r>
      <w:r w:rsidRPr="001C3E4E">
        <w:rPr>
          <w:i/>
          <w:color w:val="000000"/>
        </w:rPr>
        <w:t xml:space="preserve"> «Анализ рынка нед</w:t>
      </w:r>
      <w:r>
        <w:rPr>
          <w:i/>
          <w:color w:val="000000"/>
        </w:rPr>
        <w:t>вижимости для профессионалов» / Г. </w:t>
      </w:r>
      <w:r w:rsidRPr="001C3E4E">
        <w:rPr>
          <w:i/>
          <w:color w:val="000000"/>
        </w:rPr>
        <w:t>М. </w:t>
      </w:r>
      <w:proofErr w:type="spellStart"/>
      <w:r w:rsidRPr="001C3E4E">
        <w:rPr>
          <w:i/>
          <w:color w:val="000000"/>
        </w:rPr>
        <w:t>Стерник</w:t>
      </w:r>
      <w:proofErr w:type="spellEnd"/>
      <w:r w:rsidRPr="001C3E4E">
        <w:rPr>
          <w:i/>
          <w:color w:val="000000"/>
        </w:rPr>
        <w:t>, С.</w:t>
      </w:r>
      <w:r>
        <w:rPr>
          <w:i/>
          <w:color w:val="000000"/>
        </w:rPr>
        <w:t> </w:t>
      </w:r>
      <w:r w:rsidRPr="001C3E4E">
        <w:rPr>
          <w:i/>
          <w:color w:val="000000"/>
        </w:rPr>
        <w:t>Г.</w:t>
      </w:r>
      <w:r>
        <w:rPr>
          <w:i/>
          <w:color w:val="000000"/>
        </w:rPr>
        <w:t> </w:t>
      </w:r>
      <w:proofErr w:type="spellStart"/>
      <w:r w:rsidRPr="001C3E4E">
        <w:rPr>
          <w:i/>
          <w:color w:val="000000"/>
        </w:rPr>
        <w:t>Стерник</w:t>
      </w:r>
      <w:proofErr w:type="spellEnd"/>
      <w:r>
        <w:rPr>
          <w:i/>
          <w:color w:val="000000"/>
        </w:rPr>
        <w:t>.</w:t>
      </w:r>
      <w:proofErr w:type="gramEnd"/>
      <w:r>
        <w:rPr>
          <w:i/>
          <w:color w:val="000000"/>
        </w:rPr>
        <w:t xml:space="preserve"> </w:t>
      </w:r>
      <w:r w:rsidRPr="001C3E4E">
        <w:rPr>
          <w:i/>
          <w:color w:val="000000"/>
        </w:rPr>
        <w:t>-</w:t>
      </w:r>
      <w:r>
        <w:rPr>
          <w:i/>
          <w:color w:val="000000"/>
        </w:rPr>
        <w:t xml:space="preserve"> </w:t>
      </w:r>
      <w:r w:rsidRPr="001C3E4E">
        <w:rPr>
          <w:i/>
          <w:color w:val="000000"/>
        </w:rPr>
        <w:t>М.</w:t>
      </w:r>
      <w:proofErr w:type="gramStart"/>
      <w:r>
        <w:rPr>
          <w:i/>
          <w:color w:val="000000"/>
        </w:rPr>
        <w:t xml:space="preserve"> </w:t>
      </w:r>
      <w:r w:rsidRPr="001C3E4E">
        <w:rPr>
          <w:i/>
          <w:color w:val="000000"/>
        </w:rPr>
        <w:t>:</w:t>
      </w:r>
      <w:proofErr w:type="gramEnd"/>
      <w:r w:rsidRPr="001C3E4E">
        <w:rPr>
          <w:i/>
          <w:color w:val="000000"/>
        </w:rPr>
        <w:t xml:space="preserve"> ЗАО </w:t>
      </w:r>
      <w:r>
        <w:rPr>
          <w:i/>
          <w:color w:val="000000"/>
        </w:rPr>
        <w:t>«</w:t>
      </w:r>
      <w:r w:rsidRPr="001C3E4E">
        <w:rPr>
          <w:i/>
          <w:color w:val="000000"/>
        </w:rPr>
        <w:t xml:space="preserve">Издательство </w:t>
      </w:r>
      <w:r>
        <w:rPr>
          <w:i/>
          <w:color w:val="000000"/>
        </w:rPr>
        <w:t>«</w:t>
      </w:r>
      <w:r w:rsidRPr="001C3E4E">
        <w:rPr>
          <w:i/>
          <w:color w:val="000000"/>
        </w:rPr>
        <w:t>Экономика</w:t>
      </w:r>
      <w:r>
        <w:rPr>
          <w:i/>
          <w:color w:val="000000"/>
        </w:rPr>
        <w:t>»</w:t>
      </w:r>
      <w:r w:rsidRPr="001C3E4E">
        <w:rPr>
          <w:i/>
          <w:color w:val="000000"/>
        </w:rPr>
        <w:t>, 2009 - 606 с.</w:t>
      </w:r>
      <w:r>
        <w:rPr>
          <w:i/>
          <w:color w:val="000000"/>
        </w:rPr>
        <w:t>)</w:t>
      </w:r>
    </w:p>
  </w:footnote>
  <w:footnote w:id="2">
    <w:p w:rsidR="00B56402" w:rsidRPr="002E4327" w:rsidRDefault="00B56402" w:rsidP="00B56402">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 w:id="3">
    <w:p w:rsidR="001241F1" w:rsidRDefault="001241F1" w:rsidP="001241F1">
      <w:pPr>
        <w:pStyle w:val="a4"/>
        <w:jc w:val="both"/>
      </w:pPr>
      <w:r>
        <w:rPr>
          <w:rStyle w:val="a6"/>
        </w:rPr>
        <w:t>*</w:t>
      </w:r>
      <w:r>
        <w:t xml:space="preserve"> </w:t>
      </w:r>
      <w:r w:rsidRPr="002744E4">
        <w:rPr>
          <w:i/>
        </w:rPr>
        <w:t>здесь и далее под средней ценой предложения понимается среднеарифметическая цена предложений массива данных</w:t>
      </w:r>
    </w:p>
  </w:footnote>
  <w:footnote w:id="4">
    <w:p w:rsidR="00F41BC8" w:rsidRPr="00092354" w:rsidRDefault="00F41BC8" w:rsidP="00F41BC8">
      <w:pPr>
        <w:pStyle w:val="a4"/>
        <w:jc w:val="both"/>
        <w:rPr>
          <w:i/>
        </w:rPr>
      </w:pPr>
      <w:r w:rsidRPr="00092354">
        <w:rPr>
          <w:rStyle w:val="a6"/>
          <w:i/>
        </w:rPr>
        <w:t>*</w:t>
      </w:r>
      <w:r w:rsidRPr="00092354">
        <w:rPr>
          <w:i/>
        </w:rPr>
        <w:t xml:space="preserve"> </w:t>
      </w:r>
      <w:proofErr w:type="spellStart"/>
      <w:r w:rsidR="00AE3873" w:rsidRPr="00092354">
        <w:rPr>
          <w:i/>
        </w:rPr>
        <w:t>Лейфер</w:t>
      </w:r>
      <w:proofErr w:type="spellEnd"/>
      <w:r w:rsidR="00AE3873">
        <w:rPr>
          <w:i/>
        </w:rPr>
        <w:t>,</w:t>
      </w:r>
      <w:r w:rsidR="00AE3873" w:rsidRPr="00092354">
        <w:rPr>
          <w:i/>
        </w:rPr>
        <w:t xml:space="preserve"> Л.</w:t>
      </w:r>
      <w:r w:rsidR="00AE3873">
        <w:rPr>
          <w:i/>
        </w:rPr>
        <w:t> </w:t>
      </w:r>
      <w:r w:rsidR="00AE3873" w:rsidRPr="00092354">
        <w:rPr>
          <w:i/>
        </w:rPr>
        <w:t xml:space="preserve">А. </w:t>
      </w:r>
      <w:r w:rsidR="00AE3873">
        <w:rPr>
          <w:i/>
        </w:rPr>
        <w:t>Справочник оценщика недвижимости - 2016. Издание четвертое /</w:t>
      </w:r>
      <w:r w:rsidR="00AE3873" w:rsidRPr="00092354">
        <w:rPr>
          <w:i/>
        </w:rPr>
        <w:t xml:space="preserve"> Л.</w:t>
      </w:r>
      <w:r w:rsidR="00AE3873">
        <w:rPr>
          <w:i/>
        </w:rPr>
        <w:t> </w:t>
      </w:r>
      <w:r w:rsidR="00AE3873" w:rsidRPr="00092354">
        <w:rPr>
          <w:i/>
        </w:rPr>
        <w:t>А.</w:t>
      </w:r>
      <w:r w:rsidR="00AE3873">
        <w:rPr>
          <w:i/>
        </w:rPr>
        <w:t> </w:t>
      </w:r>
      <w:proofErr w:type="spellStart"/>
      <w:r w:rsidR="00AE3873" w:rsidRPr="00092354">
        <w:rPr>
          <w:i/>
        </w:rPr>
        <w:t>Лейфер</w:t>
      </w:r>
      <w:proofErr w:type="spellEnd"/>
      <w:r w:rsidR="00AE3873">
        <w:rPr>
          <w:i/>
        </w:rPr>
        <w:t>, Т. В. </w:t>
      </w:r>
      <w:proofErr w:type="spellStart"/>
      <w:r w:rsidR="00AE3873">
        <w:rPr>
          <w:i/>
        </w:rPr>
        <w:t>Крайникова</w:t>
      </w:r>
      <w:proofErr w:type="spellEnd"/>
      <w:r w:rsidR="00AE3873">
        <w:rPr>
          <w:i/>
        </w:rPr>
        <w:t xml:space="preserve">. - </w:t>
      </w:r>
      <w:r w:rsidR="00AE3873" w:rsidRPr="00092354">
        <w:rPr>
          <w:i/>
        </w:rPr>
        <w:t>г. Нижний Новгород</w:t>
      </w:r>
      <w:proofErr w:type="gramStart"/>
      <w:r w:rsidR="00AE3873">
        <w:rPr>
          <w:i/>
        </w:rPr>
        <w:t xml:space="preserve"> :</w:t>
      </w:r>
      <w:proofErr w:type="gramEnd"/>
      <w:r w:rsidR="00AE3873">
        <w:rPr>
          <w:i/>
        </w:rPr>
        <w:t xml:space="preserve"> </w:t>
      </w:r>
      <w:r w:rsidR="00AE3873" w:rsidRPr="00092354">
        <w:rPr>
          <w:i/>
        </w:rPr>
        <w:t xml:space="preserve">Приволжский центр </w:t>
      </w:r>
      <w:r w:rsidR="00AE3873">
        <w:rPr>
          <w:i/>
        </w:rPr>
        <w:t>методического и информационного обеспечения</w:t>
      </w:r>
      <w:r w:rsidR="00AE3873" w:rsidRPr="00092354">
        <w:rPr>
          <w:i/>
        </w:rPr>
        <w:t xml:space="preserve"> оценки</w:t>
      </w:r>
      <w:r w:rsidR="00AE3873">
        <w:rPr>
          <w:i/>
        </w:rPr>
        <w:t xml:space="preserve">, </w:t>
      </w:r>
      <w:r w:rsidR="00AE3873" w:rsidRPr="00092354">
        <w:rPr>
          <w:i/>
        </w:rPr>
        <w:t>201</w:t>
      </w:r>
      <w:r w:rsidR="00AE3873">
        <w:rPr>
          <w:i/>
        </w:rPr>
        <w:t>6</w:t>
      </w:r>
    </w:p>
  </w:footnote>
  <w:footnote w:id="5">
    <w:p w:rsidR="00F41BC8" w:rsidRPr="002E4327" w:rsidRDefault="00F41BC8" w:rsidP="00F41BC8">
      <w:pPr>
        <w:pStyle w:val="a4"/>
        <w:jc w:val="both"/>
        <w:rPr>
          <w:i/>
        </w:rPr>
      </w:pPr>
      <w:r w:rsidRPr="00092354">
        <w:rPr>
          <w:rStyle w:val="a6"/>
          <w:i/>
        </w:rPr>
        <w:t>**</w:t>
      </w:r>
      <w:r w:rsidRPr="00092354">
        <w:rPr>
          <w:i/>
        </w:rPr>
        <w:t xml:space="preserve"> </w:t>
      </w:r>
      <w:proofErr w:type="gramStart"/>
      <w:r>
        <w:rPr>
          <w:i/>
        </w:rPr>
        <w:t>ИП</w:t>
      </w:r>
      <w:r w:rsidRPr="00092354">
        <w:rPr>
          <w:i/>
        </w:rPr>
        <w:t xml:space="preserve"> Исаков А.</w:t>
      </w:r>
      <w:r>
        <w:rPr>
          <w:i/>
        </w:rPr>
        <w:t> </w:t>
      </w:r>
      <w:r w:rsidRPr="00092354">
        <w:rPr>
          <w:i/>
        </w:rPr>
        <w:t xml:space="preserve">К. «Бюро доходной недвижимости ПРАКТИК» </w:t>
      </w:r>
      <w:r>
        <w:rPr>
          <w:i/>
        </w:rPr>
        <w:t>(</w:t>
      </w:r>
      <w:proofErr w:type="spellStart"/>
      <w:r w:rsidRPr="00092354">
        <w:rPr>
          <w:i/>
          <w:lang w:val="en-US"/>
        </w:rPr>
        <w:t>practic</w:t>
      </w:r>
      <w:proofErr w:type="spellEnd"/>
      <w:r w:rsidRPr="00092354">
        <w:rPr>
          <w:i/>
        </w:rPr>
        <w:t>-</w:t>
      </w:r>
      <w:r w:rsidRPr="00092354">
        <w:rPr>
          <w:i/>
          <w:lang w:val="en-US"/>
        </w:rPr>
        <w:t>realty</w:t>
      </w:r>
      <w:r w:rsidRPr="00092354">
        <w:rPr>
          <w:i/>
        </w:rPr>
        <w:t>@</w:t>
      </w:r>
      <w:proofErr w:type="spellStart"/>
      <w:r w:rsidRPr="00092354">
        <w:rPr>
          <w:i/>
          <w:lang w:val="en-US"/>
        </w:rPr>
        <w:t>yandex</w:t>
      </w:r>
      <w:proofErr w:type="spellEnd"/>
      <w:r w:rsidRPr="00092354">
        <w:rPr>
          <w:i/>
        </w:rPr>
        <w:t>.</w:t>
      </w:r>
      <w:proofErr w:type="spellStart"/>
      <w:r w:rsidRPr="00092354">
        <w:rPr>
          <w:i/>
          <w:lang w:val="en-US"/>
        </w:rPr>
        <w:t>ru</w:t>
      </w:r>
      <w:proofErr w:type="spellEnd"/>
      <w:r w:rsidRPr="00092354">
        <w:rPr>
          <w:i/>
        </w:rPr>
        <w:t xml:space="preserve">, </w:t>
      </w:r>
      <w:r w:rsidRPr="00092354">
        <w:rPr>
          <w:i/>
          <w:lang w:val="en-US"/>
        </w:rPr>
        <w:t>www</w:t>
      </w:r>
      <w:r w:rsidRPr="00092354">
        <w:rPr>
          <w:i/>
        </w:rPr>
        <w:t>.</w:t>
      </w:r>
      <w:proofErr w:type="spellStart"/>
      <w:r w:rsidRPr="00092354">
        <w:rPr>
          <w:i/>
          <w:lang w:val="en-US"/>
        </w:rPr>
        <w:t>practicrealty</w:t>
      </w:r>
      <w:proofErr w:type="spellEnd"/>
      <w:r w:rsidRPr="00092354">
        <w:rPr>
          <w:i/>
        </w:rPr>
        <w:t>.</w:t>
      </w:r>
      <w:proofErr w:type="spellStart"/>
      <w:r w:rsidRPr="00092354">
        <w:rPr>
          <w:i/>
          <w:lang w:val="en-US"/>
        </w:rPr>
        <w:t>narod</w:t>
      </w:r>
      <w:proofErr w:type="spellEnd"/>
      <w:r w:rsidRPr="00092354">
        <w:rPr>
          <w:i/>
        </w:rPr>
        <w:t>.</w:t>
      </w:r>
      <w:proofErr w:type="spellStart"/>
      <w:r w:rsidRPr="00092354">
        <w:rPr>
          <w:i/>
          <w:lang w:val="en-US"/>
        </w:rPr>
        <w:t>ru</w:t>
      </w:r>
      <w:proofErr w:type="spellEnd"/>
      <w:r w:rsidRPr="00092354">
        <w:rPr>
          <w:i/>
        </w:rPr>
        <w:t>, тел. 37-13-29, сот. 21-75-59</w:t>
      </w:r>
      <w:r>
        <w:rPr>
          <w:i/>
        </w:rPr>
        <w:t>)</w:t>
      </w:r>
      <w:r w:rsidRPr="00092354">
        <w:rPr>
          <w:i/>
        </w:rPr>
        <w:t xml:space="preserve">; ИП </w:t>
      </w:r>
      <w:proofErr w:type="spellStart"/>
      <w:r w:rsidRPr="00092354">
        <w:rPr>
          <w:i/>
        </w:rPr>
        <w:t>Балакирева</w:t>
      </w:r>
      <w:proofErr w:type="spellEnd"/>
      <w:r w:rsidRPr="00092354">
        <w:rPr>
          <w:i/>
        </w:rPr>
        <w:t xml:space="preserve"> В.</w:t>
      </w:r>
      <w:r>
        <w:rPr>
          <w:i/>
        </w:rPr>
        <w:t> </w:t>
      </w:r>
      <w:r w:rsidRPr="00092354">
        <w:rPr>
          <w:i/>
        </w:rPr>
        <w:t xml:space="preserve">М. центр </w:t>
      </w:r>
      <w:r w:rsidRPr="00092354">
        <w:rPr>
          <w:i/>
          <w:spacing w:val="-8"/>
        </w:rPr>
        <w:t>Эксклюзивной недвижимости «</w:t>
      </w:r>
      <w:proofErr w:type="spellStart"/>
      <w:r w:rsidRPr="00A47016">
        <w:rPr>
          <w:i/>
          <w:spacing w:val="-8"/>
          <w:lang w:val="en-US"/>
        </w:rPr>
        <w:t>Viptoria</w:t>
      </w:r>
      <w:proofErr w:type="spellEnd"/>
      <w:r w:rsidRPr="00092354">
        <w:rPr>
          <w:i/>
          <w:spacing w:val="-8"/>
        </w:rPr>
        <w:t xml:space="preserve">» </w:t>
      </w:r>
      <w:r>
        <w:rPr>
          <w:i/>
          <w:spacing w:val="-8"/>
        </w:rPr>
        <w:t>(</w:t>
      </w:r>
      <w:r w:rsidRPr="00092354">
        <w:rPr>
          <w:i/>
          <w:spacing w:val="-8"/>
        </w:rPr>
        <w:t>vip-tori@mail.ru тел. 91-80-47</w:t>
      </w:r>
      <w:r>
        <w:rPr>
          <w:i/>
          <w:spacing w:val="-8"/>
        </w:rPr>
        <w:t>)</w:t>
      </w:r>
      <w:r w:rsidRPr="00092354">
        <w:rPr>
          <w:i/>
          <w:spacing w:val="-8"/>
        </w:rPr>
        <w:t>; ООО «</w:t>
      </w:r>
      <w:proofErr w:type="spellStart"/>
      <w:r w:rsidRPr="00092354">
        <w:rPr>
          <w:i/>
          <w:spacing w:val="-8"/>
        </w:rPr>
        <w:t>СтавБизнесКонсалтинг</w:t>
      </w:r>
      <w:proofErr w:type="spellEnd"/>
      <w:r w:rsidRPr="00092354">
        <w:rPr>
          <w:i/>
          <w:spacing w:val="-8"/>
        </w:rPr>
        <w:t>»</w:t>
      </w:r>
      <w:r>
        <w:rPr>
          <w:i/>
          <w:spacing w:val="-8"/>
        </w:rPr>
        <w:t xml:space="preserve"> (</w:t>
      </w:r>
      <w:r w:rsidRPr="00092354">
        <w:rPr>
          <w:i/>
          <w:spacing w:val="-8"/>
        </w:rPr>
        <w:t>г. Ставрополь, ул. Дзержинского, 2а, тел. 41-11-</w:t>
      </w:r>
      <w:r w:rsidRPr="002E4327">
        <w:rPr>
          <w:i/>
          <w:spacing w:val="-8"/>
        </w:rPr>
        <w:t>41); ООО «</w:t>
      </w:r>
      <w:proofErr w:type="spellStart"/>
      <w:r w:rsidRPr="002E4327">
        <w:rPr>
          <w:i/>
          <w:spacing w:val="-8"/>
        </w:rPr>
        <w:t>Консалт-бюро</w:t>
      </w:r>
      <w:proofErr w:type="spellEnd"/>
      <w:r w:rsidRPr="002E4327">
        <w:rPr>
          <w:i/>
          <w:spacing w:val="-8"/>
        </w:rPr>
        <w:t xml:space="preserve">» (г. Ставрополь, ул. Мира, 264а </w:t>
      </w:r>
      <w:proofErr w:type="spellStart"/>
      <w:r w:rsidRPr="002E4327">
        <w:rPr>
          <w:i/>
          <w:spacing w:val="-8"/>
        </w:rPr>
        <w:t>оф</w:t>
      </w:r>
      <w:proofErr w:type="spellEnd"/>
      <w:r w:rsidRPr="002E4327">
        <w:rPr>
          <w:i/>
          <w:spacing w:val="-8"/>
        </w:rPr>
        <w:t>.: 29, тел. (8652) 29-69-45, 37-30-36)</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E2F" w:rsidRPr="00650AE8" w:rsidRDefault="00297E2F" w:rsidP="00297E2F">
    <w:pPr>
      <w:pStyle w:val="a9"/>
      <w:jc w:val="center"/>
      <w:rPr>
        <w:i/>
        <w:sz w:val="20"/>
        <w:szCs w:val="20"/>
        <w:u w:val="single"/>
      </w:rPr>
    </w:pPr>
    <w:r w:rsidRPr="00650AE8">
      <w:rPr>
        <w:i/>
        <w:sz w:val="20"/>
        <w:szCs w:val="20"/>
        <w:u w:val="single"/>
      </w:rPr>
      <w:t xml:space="preserve">Анализ рынка торговой недвижимости </w:t>
    </w:r>
    <w:proofErr w:type="gramStart"/>
    <w:r w:rsidRPr="00650AE8">
      <w:rPr>
        <w:i/>
        <w:sz w:val="20"/>
        <w:szCs w:val="20"/>
        <w:u w:val="single"/>
      </w:rPr>
      <w:t>г</w:t>
    </w:r>
    <w:proofErr w:type="gramEnd"/>
    <w:r w:rsidRPr="00650AE8">
      <w:rPr>
        <w:i/>
        <w:sz w:val="20"/>
        <w:szCs w:val="20"/>
        <w:u w:val="single"/>
      </w:rPr>
      <w:t xml:space="preserve">. Ставрополь </w:t>
    </w:r>
    <w:r w:rsidR="00D109E1">
      <w:rPr>
        <w:i/>
        <w:sz w:val="20"/>
        <w:szCs w:val="20"/>
        <w:u w:val="single"/>
      </w:rPr>
      <w:t>(в период с 01 января 2009 по 31</w:t>
    </w:r>
    <w:r w:rsidR="00B2425E">
      <w:rPr>
        <w:i/>
        <w:sz w:val="20"/>
        <w:szCs w:val="20"/>
        <w:u w:val="single"/>
      </w:rPr>
      <w:t xml:space="preserve"> </w:t>
    </w:r>
    <w:r w:rsidR="00D109E1">
      <w:rPr>
        <w:i/>
        <w:sz w:val="20"/>
        <w:szCs w:val="20"/>
        <w:u w:val="single"/>
      </w:rPr>
      <w:t>марта</w:t>
    </w:r>
    <w:r w:rsidR="00E206C4">
      <w:rPr>
        <w:i/>
        <w:sz w:val="20"/>
        <w:szCs w:val="20"/>
        <w:u w:val="single"/>
      </w:rPr>
      <w:t xml:space="preserve"> 2020</w:t>
    </w:r>
    <w:r w:rsidR="00804BC6">
      <w:rPr>
        <w:i/>
        <w:sz w:val="20"/>
        <w:szCs w:val="20"/>
        <w:u w:val="single"/>
      </w:rPr>
      <w:t xml:space="preserve"> </w:t>
    </w:r>
    <w:r w:rsidRPr="00C10343">
      <w:rPr>
        <w:i/>
        <w:sz w:val="20"/>
        <w:szCs w:val="20"/>
        <w:u w:val="single"/>
      </w:rPr>
      <w:t>г.)</w:t>
    </w:r>
  </w:p>
  <w:p w:rsidR="00297E2F" w:rsidRPr="00FD658D" w:rsidRDefault="00297E2F" w:rsidP="00297E2F">
    <w:pPr>
      <w:pStyle w:val="a9"/>
      <w:jc w:val="center"/>
      <w:rPr>
        <w:b/>
        <w:i/>
        <w:sz w:val="20"/>
        <w:szCs w:val="20"/>
        <w:u w:val="singl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80B" w:rsidRPr="00923D51" w:rsidRDefault="0067780B" w:rsidP="0067780B">
    <w:pPr>
      <w:jc w:val="center"/>
      <w:rPr>
        <w:i/>
      </w:rPr>
    </w:pPr>
    <w:r w:rsidRPr="00923D51">
      <w:rPr>
        <w:i/>
      </w:rPr>
      <w:t>Воспроизведение и цитирование всего материала или любой его части может производиться только с соответствующей ссылкой на источник (</w:t>
    </w:r>
    <w:proofErr w:type="gramStart"/>
    <w:r w:rsidRPr="00923D51">
      <w:rPr>
        <w:i/>
      </w:rPr>
      <w:t>ч</w:t>
    </w:r>
    <w:proofErr w:type="gramEnd"/>
    <w:r w:rsidRPr="00923D51">
      <w:rPr>
        <w:i/>
      </w:rPr>
      <w:t>.4 ГК РФ, раздел 7 «Права и результаты интеллектуальной деятельности и средства индивидуализации»)</w:t>
    </w:r>
    <w:r>
      <w:rPr>
        <w:i/>
      </w:rPr>
      <w:t>. Любое использование данного материала в коммерческой (возмездной) деятельности допускается только при наличии письменного согласия правообладателя.</w:t>
    </w:r>
  </w:p>
  <w:p w:rsidR="0067780B" w:rsidRPr="002248A2" w:rsidRDefault="0067780B" w:rsidP="0067780B">
    <w:pPr>
      <w:jc w:val="center"/>
      <w:rPr>
        <w:i/>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characterSpacingControl w:val="doNotCompress"/>
  <w:hdrShapeDefaults>
    <o:shapedefaults v:ext="edit" spidmax="23554"/>
  </w:hdrShapeDefaults>
  <w:footnotePr>
    <w:footnote w:id="-1"/>
    <w:footnote w:id="0"/>
  </w:footnotePr>
  <w:endnotePr>
    <w:endnote w:id="-1"/>
    <w:endnote w:id="0"/>
  </w:endnotePr>
  <w:compat/>
  <w:rsids>
    <w:rsidRoot w:val="005B6E2A"/>
    <w:rsid w:val="000003C4"/>
    <w:rsid w:val="00001F11"/>
    <w:rsid w:val="00006084"/>
    <w:rsid w:val="000119CE"/>
    <w:rsid w:val="000123F0"/>
    <w:rsid w:val="00012BF5"/>
    <w:rsid w:val="0001406A"/>
    <w:rsid w:val="00020599"/>
    <w:rsid w:val="00022AC9"/>
    <w:rsid w:val="00022D4C"/>
    <w:rsid w:val="00025C0C"/>
    <w:rsid w:val="00025FED"/>
    <w:rsid w:val="000339B2"/>
    <w:rsid w:val="0003552C"/>
    <w:rsid w:val="0003574A"/>
    <w:rsid w:val="00036F38"/>
    <w:rsid w:val="00037673"/>
    <w:rsid w:val="00043764"/>
    <w:rsid w:val="00044C1B"/>
    <w:rsid w:val="0004668C"/>
    <w:rsid w:val="00053B76"/>
    <w:rsid w:val="00056B7D"/>
    <w:rsid w:val="0006027B"/>
    <w:rsid w:val="00063128"/>
    <w:rsid w:val="000674E7"/>
    <w:rsid w:val="000710CB"/>
    <w:rsid w:val="000711B7"/>
    <w:rsid w:val="00071FA8"/>
    <w:rsid w:val="00073C2D"/>
    <w:rsid w:val="00073D59"/>
    <w:rsid w:val="00075C8A"/>
    <w:rsid w:val="00077E1F"/>
    <w:rsid w:val="00080D7E"/>
    <w:rsid w:val="00081B42"/>
    <w:rsid w:val="000829BB"/>
    <w:rsid w:val="00092BB4"/>
    <w:rsid w:val="00092C8B"/>
    <w:rsid w:val="00093DBE"/>
    <w:rsid w:val="000A02D2"/>
    <w:rsid w:val="000A3066"/>
    <w:rsid w:val="000A4539"/>
    <w:rsid w:val="000B2EC1"/>
    <w:rsid w:val="000B50F9"/>
    <w:rsid w:val="000B5717"/>
    <w:rsid w:val="000B5773"/>
    <w:rsid w:val="000B665D"/>
    <w:rsid w:val="000C4263"/>
    <w:rsid w:val="000C6638"/>
    <w:rsid w:val="000C75E6"/>
    <w:rsid w:val="000D2080"/>
    <w:rsid w:val="000D3066"/>
    <w:rsid w:val="000D3AA9"/>
    <w:rsid w:val="000D58DB"/>
    <w:rsid w:val="000D6DFA"/>
    <w:rsid w:val="000D7C5F"/>
    <w:rsid w:val="000E08FD"/>
    <w:rsid w:val="000E091F"/>
    <w:rsid w:val="000E49FF"/>
    <w:rsid w:val="000E777C"/>
    <w:rsid w:val="000F0777"/>
    <w:rsid w:val="000F4134"/>
    <w:rsid w:val="000F5097"/>
    <w:rsid w:val="001003D9"/>
    <w:rsid w:val="00101577"/>
    <w:rsid w:val="00106D58"/>
    <w:rsid w:val="00107849"/>
    <w:rsid w:val="00107A5F"/>
    <w:rsid w:val="0012069D"/>
    <w:rsid w:val="00120C77"/>
    <w:rsid w:val="00123D2A"/>
    <w:rsid w:val="001241F1"/>
    <w:rsid w:val="001306A4"/>
    <w:rsid w:val="001309B3"/>
    <w:rsid w:val="00132799"/>
    <w:rsid w:val="0013365F"/>
    <w:rsid w:val="00135774"/>
    <w:rsid w:val="00135B18"/>
    <w:rsid w:val="00137658"/>
    <w:rsid w:val="001428A0"/>
    <w:rsid w:val="00151417"/>
    <w:rsid w:val="001528CB"/>
    <w:rsid w:val="00152B78"/>
    <w:rsid w:val="00152D89"/>
    <w:rsid w:val="00155DC2"/>
    <w:rsid w:val="001560B3"/>
    <w:rsid w:val="00156811"/>
    <w:rsid w:val="00160B53"/>
    <w:rsid w:val="00163081"/>
    <w:rsid w:val="0016528A"/>
    <w:rsid w:val="00177CB4"/>
    <w:rsid w:val="0018271E"/>
    <w:rsid w:val="00187134"/>
    <w:rsid w:val="00192185"/>
    <w:rsid w:val="00193112"/>
    <w:rsid w:val="00194857"/>
    <w:rsid w:val="001948E6"/>
    <w:rsid w:val="001A2A0B"/>
    <w:rsid w:val="001A3FD5"/>
    <w:rsid w:val="001A6535"/>
    <w:rsid w:val="001A75D2"/>
    <w:rsid w:val="001B4143"/>
    <w:rsid w:val="001B67E5"/>
    <w:rsid w:val="001C1C70"/>
    <w:rsid w:val="001C2C76"/>
    <w:rsid w:val="001C3E4E"/>
    <w:rsid w:val="001C5169"/>
    <w:rsid w:val="001D2E1E"/>
    <w:rsid w:val="001E1663"/>
    <w:rsid w:val="001E1770"/>
    <w:rsid w:val="001E1B1B"/>
    <w:rsid w:val="001E2BE0"/>
    <w:rsid w:val="001F0A51"/>
    <w:rsid w:val="001F1FBF"/>
    <w:rsid w:val="001F224E"/>
    <w:rsid w:val="001F5540"/>
    <w:rsid w:val="001F5591"/>
    <w:rsid w:val="001F56C1"/>
    <w:rsid w:val="001F7630"/>
    <w:rsid w:val="00202D2C"/>
    <w:rsid w:val="002145A5"/>
    <w:rsid w:val="00214834"/>
    <w:rsid w:val="00215616"/>
    <w:rsid w:val="00217717"/>
    <w:rsid w:val="0021798B"/>
    <w:rsid w:val="002248A2"/>
    <w:rsid w:val="00225877"/>
    <w:rsid w:val="0022712D"/>
    <w:rsid w:val="00245921"/>
    <w:rsid w:val="00251575"/>
    <w:rsid w:val="0025333E"/>
    <w:rsid w:val="00261029"/>
    <w:rsid w:val="0026109E"/>
    <w:rsid w:val="00262514"/>
    <w:rsid w:val="00265DDE"/>
    <w:rsid w:val="00266362"/>
    <w:rsid w:val="0027178B"/>
    <w:rsid w:val="0027389E"/>
    <w:rsid w:val="002752EE"/>
    <w:rsid w:val="00276301"/>
    <w:rsid w:val="00277019"/>
    <w:rsid w:val="00280F73"/>
    <w:rsid w:val="002957A3"/>
    <w:rsid w:val="00297E2F"/>
    <w:rsid w:val="002B2428"/>
    <w:rsid w:val="002B27F0"/>
    <w:rsid w:val="002B7C0A"/>
    <w:rsid w:val="002C0D29"/>
    <w:rsid w:val="002C3B7E"/>
    <w:rsid w:val="002C7394"/>
    <w:rsid w:val="002D07DE"/>
    <w:rsid w:val="002D18F1"/>
    <w:rsid w:val="002D19E8"/>
    <w:rsid w:val="002D53BF"/>
    <w:rsid w:val="002D56A8"/>
    <w:rsid w:val="002D5EB9"/>
    <w:rsid w:val="002D5F88"/>
    <w:rsid w:val="002D7853"/>
    <w:rsid w:val="002E32CC"/>
    <w:rsid w:val="002E36A0"/>
    <w:rsid w:val="002E47D7"/>
    <w:rsid w:val="002F28D3"/>
    <w:rsid w:val="002F702C"/>
    <w:rsid w:val="002F7ACA"/>
    <w:rsid w:val="00300985"/>
    <w:rsid w:val="003052B8"/>
    <w:rsid w:val="00305C51"/>
    <w:rsid w:val="00310774"/>
    <w:rsid w:val="003115EA"/>
    <w:rsid w:val="00312135"/>
    <w:rsid w:val="00312956"/>
    <w:rsid w:val="00313C11"/>
    <w:rsid w:val="00320258"/>
    <w:rsid w:val="0032419C"/>
    <w:rsid w:val="0032571E"/>
    <w:rsid w:val="00325723"/>
    <w:rsid w:val="00330B3B"/>
    <w:rsid w:val="00332D38"/>
    <w:rsid w:val="003343C6"/>
    <w:rsid w:val="00341256"/>
    <w:rsid w:val="00341C10"/>
    <w:rsid w:val="00346820"/>
    <w:rsid w:val="00346CCD"/>
    <w:rsid w:val="00350952"/>
    <w:rsid w:val="003513D0"/>
    <w:rsid w:val="003526BF"/>
    <w:rsid w:val="003534FC"/>
    <w:rsid w:val="00354A7B"/>
    <w:rsid w:val="00355E72"/>
    <w:rsid w:val="00360A8E"/>
    <w:rsid w:val="00363DD9"/>
    <w:rsid w:val="00373BBD"/>
    <w:rsid w:val="003801B7"/>
    <w:rsid w:val="00383584"/>
    <w:rsid w:val="0038549F"/>
    <w:rsid w:val="00386D19"/>
    <w:rsid w:val="00394D8B"/>
    <w:rsid w:val="00396BC1"/>
    <w:rsid w:val="003A0391"/>
    <w:rsid w:val="003A0C66"/>
    <w:rsid w:val="003A7433"/>
    <w:rsid w:val="003A77A6"/>
    <w:rsid w:val="003B0B9D"/>
    <w:rsid w:val="003B2F25"/>
    <w:rsid w:val="003B7247"/>
    <w:rsid w:val="003C0386"/>
    <w:rsid w:val="003C3A29"/>
    <w:rsid w:val="003C4F54"/>
    <w:rsid w:val="003C54F1"/>
    <w:rsid w:val="003D005A"/>
    <w:rsid w:val="003D093A"/>
    <w:rsid w:val="003D2152"/>
    <w:rsid w:val="003D3123"/>
    <w:rsid w:val="003D3BB3"/>
    <w:rsid w:val="003D4D2A"/>
    <w:rsid w:val="003D6123"/>
    <w:rsid w:val="003E2DB5"/>
    <w:rsid w:val="003E2E6E"/>
    <w:rsid w:val="003E34F1"/>
    <w:rsid w:val="003E5B17"/>
    <w:rsid w:val="003F22A0"/>
    <w:rsid w:val="003F3AA3"/>
    <w:rsid w:val="003F3FDD"/>
    <w:rsid w:val="003F65BA"/>
    <w:rsid w:val="00400682"/>
    <w:rsid w:val="00403224"/>
    <w:rsid w:val="00403BEA"/>
    <w:rsid w:val="00410BB9"/>
    <w:rsid w:val="00413ACA"/>
    <w:rsid w:val="00415C26"/>
    <w:rsid w:val="00417272"/>
    <w:rsid w:val="00417BD8"/>
    <w:rsid w:val="004203D6"/>
    <w:rsid w:val="00420979"/>
    <w:rsid w:val="004211BE"/>
    <w:rsid w:val="00424796"/>
    <w:rsid w:val="004254E2"/>
    <w:rsid w:val="0042743A"/>
    <w:rsid w:val="004331BE"/>
    <w:rsid w:val="00434CE2"/>
    <w:rsid w:val="00437FC9"/>
    <w:rsid w:val="00443D13"/>
    <w:rsid w:val="004448D1"/>
    <w:rsid w:val="00451313"/>
    <w:rsid w:val="0045132C"/>
    <w:rsid w:val="0045429F"/>
    <w:rsid w:val="00460DDA"/>
    <w:rsid w:val="00467CFC"/>
    <w:rsid w:val="00471029"/>
    <w:rsid w:val="0047298C"/>
    <w:rsid w:val="00476C72"/>
    <w:rsid w:val="0048102B"/>
    <w:rsid w:val="00481B91"/>
    <w:rsid w:val="00485FDC"/>
    <w:rsid w:val="00490745"/>
    <w:rsid w:val="00491683"/>
    <w:rsid w:val="004943C2"/>
    <w:rsid w:val="0049747C"/>
    <w:rsid w:val="00497C57"/>
    <w:rsid w:val="004B4DCE"/>
    <w:rsid w:val="004B7032"/>
    <w:rsid w:val="004B72F6"/>
    <w:rsid w:val="004C0354"/>
    <w:rsid w:val="004C0AD5"/>
    <w:rsid w:val="004C1638"/>
    <w:rsid w:val="004C4D0F"/>
    <w:rsid w:val="004C6F7E"/>
    <w:rsid w:val="004D0175"/>
    <w:rsid w:val="004D18CF"/>
    <w:rsid w:val="004D464A"/>
    <w:rsid w:val="004D5388"/>
    <w:rsid w:val="004D782F"/>
    <w:rsid w:val="004D7A23"/>
    <w:rsid w:val="004D7DFC"/>
    <w:rsid w:val="004E047B"/>
    <w:rsid w:val="004E5358"/>
    <w:rsid w:val="004F762F"/>
    <w:rsid w:val="00500B7D"/>
    <w:rsid w:val="00503400"/>
    <w:rsid w:val="00503BEA"/>
    <w:rsid w:val="00504B6E"/>
    <w:rsid w:val="00505F7B"/>
    <w:rsid w:val="0050684F"/>
    <w:rsid w:val="005104E7"/>
    <w:rsid w:val="0051435F"/>
    <w:rsid w:val="00516828"/>
    <w:rsid w:val="00523EDE"/>
    <w:rsid w:val="00525429"/>
    <w:rsid w:val="005308F5"/>
    <w:rsid w:val="00530E9C"/>
    <w:rsid w:val="005332B6"/>
    <w:rsid w:val="00536040"/>
    <w:rsid w:val="00536733"/>
    <w:rsid w:val="005443C4"/>
    <w:rsid w:val="00545D48"/>
    <w:rsid w:val="00545FBE"/>
    <w:rsid w:val="00554729"/>
    <w:rsid w:val="005556CE"/>
    <w:rsid w:val="0055613B"/>
    <w:rsid w:val="00557CB1"/>
    <w:rsid w:val="00557DB5"/>
    <w:rsid w:val="005609F5"/>
    <w:rsid w:val="00562EFD"/>
    <w:rsid w:val="005649D1"/>
    <w:rsid w:val="00571043"/>
    <w:rsid w:val="005727A8"/>
    <w:rsid w:val="00574005"/>
    <w:rsid w:val="00575295"/>
    <w:rsid w:val="00575E71"/>
    <w:rsid w:val="0057601B"/>
    <w:rsid w:val="00577016"/>
    <w:rsid w:val="00584DD5"/>
    <w:rsid w:val="0058559F"/>
    <w:rsid w:val="0058692A"/>
    <w:rsid w:val="005A1698"/>
    <w:rsid w:val="005A39A9"/>
    <w:rsid w:val="005A6D95"/>
    <w:rsid w:val="005A7473"/>
    <w:rsid w:val="005A7F4E"/>
    <w:rsid w:val="005B2041"/>
    <w:rsid w:val="005B2375"/>
    <w:rsid w:val="005B24DA"/>
    <w:rsid w:val="005B60E4"/>
    <w:rsid w:val="005B6304"/>
    <w:rsid w:val="005B6E2A"/>
    <w:rsid w:val="005C000B"/>
    <w:rsid w:val="005C495D"/>
    <w:rsid w:val="005C4A30"/>
    <w:rsid w:val="005D0897"/>
    <w:rsid w:val="005D5236"/>
    <w:rsid w:val="005D5632"/>
    <w:rsid w:val="005D6FC8"/>
    <w:rsid w:val="005D7596"/>
    <w:rsid w:val="005E36C1"/>
    <w:rsid w:val="005E74E7"/>
    <w:rsid w:val="005F1877"/>
    <w:rsid w:val="005F4D53"/>
    <w:rsid w:val="005F4EB2"/>
    <w:rsid w:val="005F5ADC"/>
    <w:rsid w:val="005F62B1"/>
    <w:rsid w:val="005F7133"/>
    <w:rsid w:val="006015F9"/>
    <w:rsid w:val="00603785"/>
    <w:rsid w:val="00604AD0"/>
    <w:rsid w:val="00605918"/>
    <w:rsid w:val="00606536"/>
    <w:rsid w:val="00606D6E"/>
    <w:rsid w:val="00610A33"/>
    <w:rsid w:val="00622D11"/>
    <w:rsid w:val="00624515"/>
    <w:rsid w:val="006346AF"/>
    <w:rsid w:val="00643131"/>
    <w:rsid w:val="00647495"/>
    <w:rsid w:val="00647BD9"/>
    <w:rsid w:val="0065625B"/>
    <w:rsid w:val="00657E12"/>
    <w:rsid w:val="00665608"/>
    <w:rsid w:val="006662DF"/>
    <w:rsid w:val="00671BD2"/>
    <w:rsid w:val="00674BAA"/>
    <w:rsid w:val="00676162"/>
    <w:rsid w:val="0067780B"/>
    <w:rsid w:val="00680A19"/>
    <w:rsid w:val="0068271B"/>
    <w:rsid w:val="00682EC7"/>
    <w:rsid w:val="006853A6"/>
    <w:rsid w:val="006858D1"/>
    <w:rsid w:val="00690366"/>
    <w:rsid w:val="0069479A"/>
    <w:rsid w:val="00695258"/>
    <w:rsid w:val="0069529D"/>
    <w:rsid w:val="00696376"/>
    <w:rsid w:val="0069659F"/>
    <w:rsid w:val="006A014E"/>
    <w:rsid w:val="006A0BE5"/>
    <w:rsid w:val="006A0D64"/>
    <w:rsid w:val="006A1E6A"/>
    <w:rsid w:val="006A2544"/>
    <w:rsid w:val="006A2828"/>
    <w:rsid w:val="006A6C42"/>
    <w:rsid w:val="006A79CA"/>
    <w:rsid w:val="006B0230"/>
    <w:rsid w:val="006B03FA"/>
    <w:rsid w:val="006B082B"/>
    <w:rsid w:val="006B1239"/>
    <w:rsid w:val="006B3D11"/>
    <w:rsid w:val="006C3CB9"/>
    <w:rsid w:val="006C57B0"/>
    <w:rsid w:val="006C68D3"/>
    <w:rsid w:val="006C7D2A"/>
    <w:rsid w:val="006D3460"/>
    <w:rsid w:val="006D4B37"/>
    <w:rsid w:val="006E095F"/>
    <w:rsid w:val="006E1188"/>
    <w:rsid w:val="006E1540"/>
    <w:rsid w:val="006E18FA"/>
    <w:rsid w:val="006E2E7F"/>
    <w:rsid w:val="006E3113"/>
    <w:rsid w:val="006E50F1"/>
    <w:rsid w:val="006E5E1E"/>
    <w:rsid w:val="006E69CF"/>
    <w:rsid w:val="006F1AB7"/>
    <w:rsid w:val="006F56A1"/>
    <w:rsid w:val="006F694C"/>
    <w:rsid w:val="006F7CA6"/>
    <w:rsid w:val="00702812"/>
    <w:rsid w:val="00703194"/>
    <w:rsid w:val="00703C68"/>
    <w:rsid w:val="00706BB0"/>
    <w:rsid w:val="00707323"/>
    <w:rsid w:val="00715D6F"/>
    <w:rsid w:val="007201AD"/>
    <w:rsid w:val="00723814"/>
    <w:rsid w:val="00724ADF"/>
    <w:rsid w:val="00726FAA"/>
    <w:rsid w:val="00732FFF"/>
    <w:rsid w:val="00740491"/>
    <w:rsid w:val="00743A60"/>
    <w:rsid w:val="007471E7"/>
    <w:rsid w:val="007529FC"/>
    <w:rsid w:val="007560F4"/>
    <w:rsid w:val="00761F26"/>
    <w:rsid w:val="0076224F"/>
    <w:rsid w:val="007627EA"/>
    <w:rsid w:val="00764500"/>
    <w:rsid w:val="00764E30"/>
    <w:rsid w:val="0076640E"/>
    <w:rsid w:val="00771609"/>
    <w:rsid w:val="00776583"/>
    <w:rsid w:val="00784076"/>
    <w:rsid w:val="00790F96"/>
    <w:rsid w:val="007918FF"/>
    <w:rsid w:val="007920CC"/>
    <w:rsid w:val="00793F8F"/>
    <w:rsid w:val="00794772"/>
    <w:rsid w:val="007A0371"/>
    <w:rsid w:val="007A1735"/>
    <w:rsid w:val="007A2ACC"/>
    <w:rsid w:val="007A5C1A"/>
    <w:rsid w:val="007B05ED"/>
    <w:rsid w:val="007B3824"/>
    <w:rsid w:val="007C182C"/>
    <w:rsid w:val="007C58B6"/>
    <w:rsid w:val="007D25AC"/>
    <w:rsid w:val="007D2C47"/>
    <w:rsid w:val="007D48E2"/>
    <w:rsid w:val="007D4AA0"/>
    <w:rsid w:val="007D6A63"/>
    <w:rsid w:val="007E1BAA"/>
    <w:rsid w:val="007E4B6E"/>
    <w:rsid w:val="007F03DA"/>
    <w:rsid w:val="007F3183"/>
    <w:rsid w:val="007F738A"/>
    <w:rsid w:val="0080483D"/>
    <w:rsid w:val="00804860"/>
    <w:rsid w:val="00804BC6"/>
    <w:rsid w:val="008109DA"/>
    <w:rsid w:val="00810C53"/>
    <w:rsid w:val="0081574E"/>
    <w:rsid w:val="00817AAB"/>
    <w:rsid w:val="00820C11"/>
    <w:rsid w:val="008238AC"/>
    <w:rsid w:val="00823B5C"/>
    <w:rsid w:val="008247CB"/>
    <w:rsid w:val="0082568F"/>
    <w:rsid w:val="00830C10"/>
    <w:rsid w:val="00831255"/>
    <w:rsid w:val="0083188A"/>
    <w:rsid w:val="00832C8C"/>
    <w:rsid w:val="008357F3"/>
    <w:rsid w:val="00836890"/>
    <w:rsid w:val="0084563C"/>
    <w:rsid w:val="008459E6"/>
    <w:rsid w:val="00845EF2"/>
    <w:rsid w:val="008505FE"/>
    <w:rsid w:val="00851ACE"/>
    <w:rsid w:val="00852138"/>
    <w:rsid w:val="00852F13"/>
    <w:rsid w:val="00852FC6"/>
    <w:rsid w:val="00860B31"/>
    <w:rsid w:val="00862393"/>
    <w:rsid w:val="00862DDB"/>
    <w:rsid w:val="00863B66"/>
    <w:rsid w:val="0087078B"/>
    <w:rsid w:val="00873310"/>
    <w:rsid w:val="008756E4"/>
    <w:rsid w:val="008762C4"/>
    <w:rsid w:val="00876485"/>
    <w:rsid w:val="0087741E"/>
    <w:rsid w:val="00884406"/>
    <w:rsid w:val="00885979"/>
    <w:rsid w:val="00886558"/>
    <w:rsid w:val="00891E52"/>
    <w:rsid w:val="0089431C"/>
    <w:rsid w:val="00894C83"/>
    <w:rsid w:val="00897F1F"/>
    <w:rsid w:val="008A0EEE"/>
    <w:rsid w:val="008A2FFF"/>
    <w:rsid w:val="008A3C93"/>
    <w:rsid w:val="008A658D"/>
    <w:rsid w:val="008B08FD"/>
    <w:rsid w:val="008B2314"/>
    <w:rsid w:val="008B269C"/>
    <w:rsid w:val="008C7CA3"/>
    <w:rsid w:val="008D2AD2"/>
    <w:rsid w:val="008D7449"/>
    <w:rsid w:val="008D75E2"/>
    <w:rsid w:val="008E0E7E"/>
    <w:rsid w:val="008E107D"/>
    <w:rsid w:val="008E1EEC"/>
    <w:rsid w:val="008E24B4"/>
    <w:rsid w:val="008E5278"/>
    <w:rsid w:val="008F1481"/>
    <w:rsid w:val="00900431"/>
    <w:rsid w:val="00901DDD"/>
    <w:rsid w:val="009031F0"/>
    <w:rsid w:val="00903941"/>
    <w:rsid w:val="0090407A"/>
    <w:rsid w:val="009078AF"/>
    <w:rsid w:val="0091158F"/>
    <w:rsid w:val="00911BA8"/>
    <w:rsid w:val="00913659"/>
    <w:rsid w:val="00917923"/>
    <w:rsid w:val="00922DAD"/>
    <w:rsid w:val="00923D51"/>
    <w:rsid w:val="00926D28"/>
    <w:rsid w:val="0093236F"/>
    <w:rsid w:val="0093364F"/>
    <w:rsid w:val="00937A87"/>
    <w:rsid w:val="00941112"/>
    <w:rsid w:val="00941486"/>
    <w:rsid w:val="009449B2"/>
    <w:rsid w:val="00946C30"/>
    <w:rsid w:val="00951248"/>
    <w:rsid w:val="0095129B"/>
    <w:rsid w:val="00954EF3"/>
    <w:rsid w:val="00963975"/>
    <w:rsid w:val="009677A6"/>
    <w:rsid w:val="00976626"/>
    <w:rsid w:val="00982E6E"/>
    <w:rsid w:val="00985F0E"/>
    <w:rsid w:val="00986CD4"/>
    <w:rsid w:val="009915AE"/>
    <w:rsid w:val="00994C9C"/>
    <w:rsid w:val="00995B9D"/>
    <w:rsid w:val="009963CF"/>
    <w:rsid w:val="009A2E6D"/>
    <w:rsid w:val="009A40C5"/>
    <w:rsid w:val="009A518F"/>
    <w:rsid w:val="009A7CC5"/>
    <w:rsid w:val="009B0E24"/>
    <w:rsid w:val="009B1629"/>
    <w:rsid w:val="009B599E"/>
    <w:rsid w:val="009B7BA4"/>
    <w:rsid w:val="009C0A56"/>
    <w:rsid w:val="009C0A75"/>
    <w:rsid w:val="009C1C08"/>
    <w:rsid w:val="009C2425"/>
    <w:rsid w:val="009C33A9"/>
    <w:rsid w:val="009C37A7"/>
    <w:rsid w:val="009C54B3"/>
    <w:rsid w:val="009C5DFE"/>
    <w:rsid w:val="009C7598"/>
    <w:rsid w:val="009D0E11"/>
    <w:rsid w:val="009D22F1"/>
    <w:rsid w:val="009D3EAA"/>
    <w:rsid w:val="009D70E1"/>
    <w:rsid w:val="009E5ACA"/>
    <w:rsid w:val="009E76F6"/>
    <w:rsid w:val="009F2C44"/>
    <w:rsid w:val="009F773E"/>
    <w:rsid w:val="00A0262B"/>
    <w:rsid w:val="00A02BAC"/>
    <w:rsid w:val="00A12E19"/>
    <w:rsid w:val="00A158AC"/>
    <w:rsid w:val="00A162B6"/>
    <w:rsid w:val="00A16974"/>
    <w:rsid w:val="00A23371"/>
    <w:rsid w:val="00A30F81"/>
    <w:rsid w:val="00A31D88"/>
    <w:rsid w:val="00A34A06"/>
    <w:rsid w:val="00A34F08"/>
    <w:rsid w:val="00A3586C"/>
    <w:rsid w:val="00A37877"/>
    <w:rsid w:val="00A40C39"/>
    <w:rsid w:val="00A42292"/>
    <w:rsid w:val="00A43F1D"/>
    <w:rsid w:val="00A46DF0"/>
    <w:rsid w:val="00A51E66"/>
    <w:rsid w:val="00A520E1"/>
    <w:rsid w:val="00A528B9"/>
    <w:rsid w:val="00A54726"/>
    <w:rsid w:val="00A55A90"/>
    <w:rsid w:val="00A56599"/>
    <w:rsid w:val="00A5754D"/>
    <w:rsid w:val="00A61567"/>
    <w:rsid w:val="00A62FD8"/>
    <w:rsid w:val="00A63B42"/>
    <w:rsid w:val="00A65FC9"/>
    <w:rsid w:val="00A6611D"/>
    <w:rsid w:val="00A6653A"/>
    <w:rsid w:val="00A70290"/>
    <w:rsid w:val="00A714DE"/>
    <w:rsid w:val="00A726A6"/>
    <w:rsid w:val="00A7294D"/>
    <w:rsid w:val="00A72FCC"/>
    <w:rsid w:val="00A74050"/>
    <w:rsid w:val="00A91EDA"/>
    <w:rsid w:val="00A9207A"/>
    <w:rsid w:val="00A92568"/>
    <w:rsid w:val="00A92B1E"/>
    <w:rsid w:val="00A934F5"/>
    <w:rsid w:val="00A94424"/>
    <w:rsid w:val="00A954D4"/>
    <w:rsid w:val="00A955CB"/>
    <w:rsid w:val="00AA10BE"/>
    <w:rsid w:val="00AA2AA0"/>
    <w:rsid w:val="00AB1550"/>
    <w:rsid w:val="00AB3042"/>
    <w:rsid w:val="00AB5A30"/>
    <w:rsid w:val="00AC038D"/>
    <w:rsid w:val="00AC17C3"/>
    <w:rsid w:val="00AC29EF"/>
    <w:rsid w:val="00AC38BC"/>
    <w:rsid w:val="00AC516D"/>
    <w:rsid w:val="00AC6582"/>
    <w:rsid w:val="00AC67D9"/>
    <w:rsid w:val="00AC6C75"/>
    <w:rsid w:val="00AC6DDC"/>
    <w:rsid w:val="00AC7001"/>
    <w:rsid w:val="00AD07A3"/>
    <w:rsid w:val="00AD12D3"/>
    <w:rsid w:val="00AD1DFF"/>
    <w:rsid w:val="00AD3C3A"/>
    <w:rsid w:val="00AD7846"/>
    <w:rsid w:val="00AE178D"/>
    <w:rsid w:val="00AE2226"/>
    <w:rsid w:val="00AE2785"/>
    <w:rsid w:val="00AE37F5"/>
    <w:rsid w:val="00AE3873"/>
    <w:rsid w:val="00AE6B8D"/>
    <w:rsid w:val="00AF2058"/>
    <w:rsid w:val="00AF264D"/>
    <w:rsid w:val="00AF269E"/>
    <w:rsid w:val="00AF5109"/>
    <w:rsid w:val="00AF51F8"/>
    <w:rsid w:val="00B028E2"/>
    <w:rsid w:val="00B044A3"/>
    <w:rsid w:val="00B0452F"/>
    <w:rsid w:val="00B15789"/>
    <w:rsid w:val="00B17CA4"/>
    <w:rsid w:val="00B17FF5"/>
    <w:rsid w:val="00B2250B"/>
    <w:rsid w:val="00B2269D"/>
    <w:rsid w:val="00B2425E"/>
    <w:rsid w:val="00B267D4"/>
    <w:rsid w:val="00B27BF2"/>
    <w:rsid w:val="00B319E0"/>
    <w:rsid w:val="00B3430B"/>
    <w:rsid w:val="00B35A62"/>
    <w:rsid w:val="00B40253"/>
    <w:rsid w:val="00B46081"/>
    <w:rsid w:val="00B46B4E"/>
    <w:rsid w:val="00B46C1C"/>
    <w:rsid w:val="00B503D3"/>
    <w:rsid w:val="00B52685"/>
    <w:rsid w:val="00B53A5C"/>
    <w:rsid w:val="00B55AF6"/>
    <w:rsid w:val="00B55C77"/>
    <w:rsid w:val="00B56402"/>
    <w:rsid w:val="00B56FC0"/>
    <w:rsid w:val="00B57820"/>
    <w:rsid w:val="00B621C1"/>
    <w:rsid w:val="00B6682C"/>
    <w:rsid w:val="00B714A0"/>
    <w:rsid w:val="00B75944"/>
    <w:rsid w:val="00B760D5"/>
    <w:rsid w:val="00B76BD1"/>
    <w:rsid w:val="00B77523"/>
    <w:rsid w:val="00B82CE2"/>
    <w:rsid w:val="00B877DA"/>
    <w:rsid w:val="00B8780E"/>
    <w:rsid w:val="00B90EE2"/>
    <w:rsid w:val="00B941ED"/>
    <w:rsid w:val="00B95FF0"/>
    <w:rsid w:val="00BA0428"/>
    <w:rsid w:val="00BA6D0F"/>
    <w:rsid w:val="00BB329B"/>
    <w:rsid w:val="00BC2730"/>
    <w:rsid w:val="00BC296D"/>
    <w:rsid w:val="00BC3842"/>
    <w:rsid w:val="00BC68BD"/>
    <w:rsid w:val="00BC6B65"/>
    <w:rsid w:val="00BD085E"/>
    <w:rsid w:val="00BD17EF"/>
    <w:rsid w:val="00BD5283"/>
    <w:rsid w:val="00BD5753"/>
    <w:rsid w:val="00BD7399"/>
    <w:rsid w:val="00BE15F2"/>
    <w:rsid w:val="00BE2128"/>
    <w:rsid w:val="00BE226E"/>
    <w:rsid w:val="00BE5B64"/>
    <w:rsid w:val="00BF0ADE"/>
    <w:rsid w:val="00BF3937"/>
    <w:rsid w:val="00BF3C87"/>
    <w:rsid w:val="00BF5C03"/>
    <w:rsid w:val="00C00963"/>
    <w:rsid w:val="00C02139"/>
    <w:rsid w:val="00C043C8"/>
    <w:rsid w:val="00C04EFB"/>
    <w:rsid w:val="00C06DE3"/>
    <w:rsid w:val="00C10343"/>
    <w:rsid w:val="00C252C5"/>
    <w:rsid w:val="00C27A1A"/>
    <w:rsid w:val="00C303F9"/>
    <w:rsid w:val="00C30C4F"/>
    <w:rsid w:val="00C333FB"/>
    <w:rsid w:val="00C339B9"/>
    <w:rsid w:val="00C40140"/>
    <w:rsid w:val="00C413AF"/>
    <w:rsid w:val="00C47032"/>
    <w:rsid w:val="00C50D10"/>
    <w:rsid w:val="00C51AA3"/>
    <w:rsid w:val="00C53F62"/>
    <w:rsid w:val="00C5424E"/>
    <w:rsid w:val="00C60DA8"/>
    <w:rsid w:val="00C640CB"/>
    <w:rsid w:val="00C66458"/>
    <w:rsid w:val="00C710E2"/>
    <w:rsid w:val="00C7576B"/>
    <w:rsid w:val="00C75F76"/>
    <w:rsid w:val="00C76943"/>
    <w:rsid w:val="00C81133"/>
    <w:rsid w:val="00C82577"/>
    <w:rsid w:val="00C8650E"/>
    <w:rsid w:val="00C91F4C"/>
    <w:rsid w:val="00C9557E"/>
    <w:rsid w:val="00C973C7"/>
    <w:rsid w:val="00CA1D95"/>
    <w:rsid w:val="00CB1B27"/>
    <w:rsid w:val="00CB24C7"/>
    <w:rsid w:val="00CB2507"/>
    <w:rsid w:val="00CB48AC"/>
    <w:rsid w:val="00CC031B"/>
    <w:rsid w:val="00CC52FE"/>
    <w:rsid w:val="00CC57FC"/>
    <w:rsid w:val="00CD2413"/>
    <w:rsid w:val="00CD55ED"/>
    <w:rsid w:val="00CD7667"/>
    <w:rsid w:val="00CE0B22"/>
    <w:rsid w:val="00CE586E"/>
    <w:rsid w:val="00CE7B42"/>
    <w:rsid w:val="00CF0F14"/>
    <w:rsid w:val="00CF268F"/>
    <w:rsid w:val="00CF75C9"/>
    <w:rsid w:val="00CF7E92"/>
    <w:rsid w:val="00CF7FDC"/>
    <w:rsid w:val="00D04152"/>
    <w:rsid w:val="00D072F0"/>
    <w:rsid w:val="00D109E1"/>
    <w:rsid w:val="00D12D0E"/>
    <w:rsid w:val="00D1639F"/>
    <w:rsid w:val="00D24FAB"/>
    <w:rsid w:val="00D3192B"/>
    <w:rsid w:val="00D36405"/>
    <w:rsid w:val="00D379C5"/>
    <w:rsid w:val="00D417DF"/>
    <w:rsid w:val="00D47561"/>
    <w:rsid w:val="00D648C7"/>
    <w:rsid w:val="00D66446"/>
    <w:rsid w:val="00D66EBD"/>
    <w:rsid w:val="00D703D1"/>
    <w:rsid w:val="00D74008"/>
    <w:rsid w:val="00D74E49"/>
    <w:rsid w:val="00D80DB9"/>
    <w:rsid w:val="00D80DD1"/>
    <w:rsid w:val="00D829C0"/>
    <w:rsid w:val="00D82C36"/>
    <w:rsid w:val="00D830AC"/>
    <w:rsid w:val="00D87A7E"/>
    <w:rsid w:val="00D92E97"/>
    <w:rsid w:val="00D946D1"/>
    <w:rsid w:val="00D95AA5"/>
    <w:rsid w:val="00D97C7F"/>
    <w:rsid w:val="00DA1827"/>
    <w:rsid w:val="00DA19E7"/>
    <w:rsid w:val="00DA1CFE"/>
    <w:rsid w:val="00DA2211"/>
    <w:rsid w:val="00DA2AE3"/>
    <w:rsid w:val="00DA4A18"/>
    <w:rsid w:val="00DA6F9E"/>
    <w:rsid w:val="00DB0DE5"/>
    <w:rsid w:val="00DB6848"/>
    <w:rsid w:val="00DB6CB0"/>
    <w:rsid w:val="00DB7FF4"/>
    <w:rsid w:val="00DC7E1E"/>
    <w:rsid w:val="00DD1060"/>
    <w:rsid w:val="00DD1396"/>
    <w:rsid w:val="00DD2141"/>
    <w:rsid w:val="00DD756A"/>
    <w:rsid w:val="00DD7686"/>
    <w:rsid w:val="00DE3817"/>
    <w:rsid w:val="00DE57C5"/>
    <w:rsid w:val="00DF0F85"/>
    <w:rsid w:val="00DF1DE3"/>
    <w:rsid w:val="00DF34A8"/>
    <w:rsid w:val="00DF3C06"/>
    <w:rsid w:val="00E06036"/>
    <w:rsid w:val="00E1002B"/>
    <w:rsid w:val="00E14084"/>
    <w:rsid w:val="00E14C48"/>
    <w:rsid w:val="00E20316"/>
    <w:rsid w:val="00E206C4"/>
    <w:rsid w:val="00E210DE"/>
    <w:rsid w:val="00E34337"/>
    <w:rsid w:val="00E35E94"/>
    <w:rsid w:val="00E41CE9"/>
    <w:rsid w:val="00E421AA"/>
    <w:rsid w:val="00E438A9"/>
    <w:rsid w:val="00E4520B"/>
    <w:rsid w:val="00E464DE"/>
    <w:rsid w:val="00E46F8D"/>
    <w:rsid w:val="00E50E5E"/>
    <w:rsid w:val="00E60977"/>
    <w:rsid w:val="00E64928"/>
    <w:rsid w:val="00E655C8"/>
    <w:rsid w:val="00E700CC"/>
    <w:rsid w:val="00E70EAA"/>
    <w:rsid w:val="00E718BA"/>
    <w:rsid w:val="00E72857"/>
    <w:rsid w:val="00E735A7"/>
    <w:rsid w:val="00E73938"/>
    <w:rsid w:val="00E74E85"/>
    <w:rsid w:val="00E75654"/>
    <w:rsid w:val="00E81865"/>
    <w:rsid w:val="00E83345"/>
    <w:rsid w:val="00E84093"/>
    <w:rsid w:val="00E848D2"/>
    <w:rsid w:val="00E8614E"/>
    <w:rsid w:val="00E90DC9"/>
    <w:rsid w:val="00E90E0F"/>
    <w:rsid w:val="00E918B9"/>
    <w:rsid w:val="00E925F9"/>
    <w:rsid w:val="00E93418"/>
    <w:rsid w:val="00E96CE9"/>
    <w:rsid w:val="00EA2B2D"/>
    <w:rsid w:val="00EA49AA"/>
    <w:rsid w:val="00EA6BE7"/>
    <w:rsid w:val="00EB68B9"/>
    <w:rsid w:val="00EC0962"/>
    <w:rsid w:val="00EC38F2"/>
    <w:rsid w:val="00EC3C31"/>
    <w:rsid w:val="00ED14C8"/>
    <w:rsid w:val="00ED4269"/>
    <w:rsid w:val="00EE0D41"/>
    <w:rsid w:val="00EE1351"/>
    <w:rsid w:val="00EE7E0F"/>
    <w:rsid w:val="00EF3D21"/>
    <w:rsid w:val="00EF3F66"/>
    <w:rsid w:val="00EF5AAE"/>
    <w:rsid w:val="00EF7443"/>
    <w:rsid w:val="00EF7823"/>
    <w:rsid w:val="00F01E3D"/>
    <w:rsid w:val="00F030AE"/>
    <w:rsid w:val="00F04977"/>
    <w:rsid w:val="00F06F48"/>
    <w:rsid w:val="00F11F21"/>
    <w:rsid w:val="00F13CCA"/>
    <w:rsid w:val="00F16D64"/>
    <w:rsid w:val="00F20E45"/>
    <w:rsid w:val="00F2614C"/>
    <w:rsid w:val="00F325C8"/>
    <w:rsid w:val="00F3271C"/>
    <w:rsid w:val="00F32A63"/>
    <w:rsid w:val="00F35352"/>
    <w:rsid w:val="00F4055A"/>
    <w:rsid w:val="00F41BC8"/>
    <w:rsid w:val="00F41DED"/>
    <w:rsid w:val="00F44FAF"/>
    <w:rsid w:val="00F51C36"/>
    <w:rsid w:val="00F526C6"/>
    <w:rsid w:val="00F52DDD"/>
    <w:rsid w:val="00F55082"/>
    <w:rsid w:val="00F55B8D"/>
    <w:rsid w:val="00F56434"/>
    <w:rsid w:val="00F62FB2"/>
    <w:rsid w:val="00F65C81"/>
    <w:rsid w:val="00F71650"/>
    <w:rsid w:val="00F71A85"/>
    <w:rsid w:val="00F72833"/>
    <w:rsid w:val="00F7653B"/>
    <w:rsid w:val="00F76AEF"/>
    <w:rsid w:val="00F80ABB"/>
    <w:rsid w:val="00F844B9"/>
    <w:rsid w:val="00F84E68"/>
    <w:rsid w:val="00F87523"/>
    <w:rsid w:val="00F97B22"/>
    <w:rsid w:val="00FB0250"/>
    <w:rsid w:val="00FB1118"/>
    <w:rsid w:val="00FB19BF"/>
    <w:rsid w:val="00FB2EF5"/>
    <w:rsid w:val="00FB4D4F"/>
    <w:rsid w:val="00FB640B"/>
    <w:rsid w:val="00FB75BD"/>
    <w:rsid w:val="00FB777C"/>
    <w:rsid w:val="00FC6AF1"/>
    <w:rsid w:val="00FD0A64"/>
    <w:rsid w:val="00FD2FA7"/>
    <w:rsid w:val="00FD3DB4"/>
    <w:rsid w:val="00FD53D7"/>
    <w:rsid w:val="00FD6433"/>
    <w:rsid w:val="00FE1519"/>
    <w:rsid w:val="00FE1F6A"/>
    <w:rsid w:val="00FF06D5"/>
    <w:rsid w:val="00FF1CCC"/>
    <w:rsid w:val="00FF4D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00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4520B"/>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4448D1"/>
    <w:rPr>
      <w:sz w:val="20"/>
      <w:szCs w:val="20"/>
    </w:rPr>
  </w:style>
  <w:style w:type="character" w:styleId="a6">
    <w:name w:val="footnote reference"/>
    <w:basedOn w:val="a0"/>
    <w:semiHidden/>
    <w:rsid w:val="004448D1"/>
    <w:rPr>
      <w:vertAlign w:val="superscript"/>
    </w:rPr>
  </w:style>
  <w:style w:type="paragraph" w:styleId="a7">
    <w:name w:val="footer"/>
    <w:basedOn w:val="a"/>
    <w:rsid w:val="004448D1"/>
    <w:pPr>
      <w:tabs>
        <w:tab w:val="center" w:pos="4677"/>
        <w:tab w:val="right" w:pos="9355"/>
      </w:tabs>
    </w:pPr>
  </w:style>
  <w:style w:type="character" w:styleId="a8">
    <w:name w:val="page number"/>
    <w:basedOn w:val="a0"/>
    <w:rsid w:val="004448D1"/>
  </w:style>
  <w:style w:type="paragraph" w:styleId="a9">
    <w:name w:val="header"/>
    <w:basedOn w:val="a"/>
    <w:rsid w:val="00862393"/>
    <w:pPr>
      <w:tabs>
        <w:tab w:val="center" w:pos="4677"/>
        <w:tab w:val="right" w:pos="9355"/>
      </w:tabs>
    </w:pPr>
  </w:style>
  <w:style w:type="paragraph" w:styleId="aa">
    <w:name w:val="caption"/>
    <w:basedOn w:val="a"/>
    <w:next w:val="a"/>
    <w:qFormat/>
    <w:rsid w:val="00B0452F"/>
    <w:rPr>
      <w:b/>
      <w:bCs/>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845EF2"/>
    <w:rPr>
      <w:lang w:val="ru-RU" w:eastAsia="ru-RU" w:bidi="ar-SA"/>
    </w:rPr>
  </w:style>
  <w:style w:type="paragraph" w:customStyle="1" w:styleId="ab">
    <w:name w:val="Знак Знак Знак Знак Знак Знак Знак"/>
    <w:basedOn w:val="a"/>
    <w:rsid w:val="00845EF2"/>
    <w:pPr>
      <w:spacing w:after="160" w:line="240" w:lineRule="exact"/>
    </w:pPr>
    <w:rPr>
      <w:rFonts w:ascii="Verdana" w:hAnsi="Verdana"/>
      <w:sz w:val="20"/>
      <w:szCs w:val="20"/>
      <w:lang w:val="en-US" w:eastAsia="en-US"/>
    </w:rPr>
  </w:style>
  <w:style w:type="table" w:styleId="ac">
    <w:name w:val="Table Grid"/>
    <w:basedOn w:val="a1"/>
    <w:rsid w:val="00923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rsid w:val="00810C53"/>
    <w:rPr>
      <w:rFonts w:ascii="Tahoma" w:hAnsi="Tahoma" w:cs="Tahoma"/>
      <w:sz w:val="16"/>
      <w:szCs w:val="16"/>
    </w:rPr>
  </w:style>
  <w:style w:type="character" w:customStyle="1" w:styleId="ae">
    <w:name w:val="Текст выноски Знак"/>
    <w:basedOn w:val="a0"/>
    <w:link w:val="ad"/>
    <w:rsid w:val="00810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0001">
      <w:bodyDiv w:val="1"/>
      <w:marLeft w:val="0"/>
      <w:marRight w:val="0"/>
      <w:marTop w:val="0"/>
      <w:marBottom w:val="0"/>
      <w:divBdr>
        <w:top w:val="none" w:sz="0" w:space="0" w:color="auto"/>
        <w:left w:val="none" w:sz="0" w:space="0" w:color="auto"/>
        <w:bottom w:val="none" w:sz="0" w:space="0" w:color="auto"/>
        <w:right w:val="none" w:sz="0" w:space="0" w:color="auto"/>
      </w:divBdr>
    </w:div>
    <w:div w:id="18237935">
      <w:bodyDiv w:val="1"/>
      <w:marLeft w:val="0"/>
      <w:marRight w:val="0"/>
      <w:marTop w:val="0"/>
      <w:marBottom w:val="0"/>
      <w:divBdr>
        <w:top w:val="none" w:sz="0" w:space="0" w:color="auto"/>
        <w:left w:val="none" w:sz="0" w:space="0" w:color="auto"/>
        <w:bottom w:val="none" w:sz="0" w:space="0" w:color="auto"/>
        <w:right w:val="none" w:sz="0" w:space="0" w:color="auto"/>
      </w:divBdr>
    </w:div>
    <w:div w:id="18970133">
      <w:bodyDiv w:val="1"/>
      <w:marLeft w:val="0"/>
      <w:marRight w:val="0"/>
      <w:marTop w:val="0"/>
      <w:marBottom w:val="0"/>
      <w:divBdr>
        <w:top w:val="none" w:sz="0" w:space="0" w:color="auto"/>
        <w:left w:val="none" w:sz="0" w:space="0" w:color="auto"/>
        <w:bottom w:val="none" w:sz="0" w:space="0" w:color="auto"/>
        <w:right w:val="none" w:sz="0" w:space="0" w:color="auto"/>
      </w:divBdr>
    </w:div>
    <w:div w:id="31224480">
      <w:bodyDiv w:val="1"/>
      <w:marLeft w:val="0"/>
      <w:marRight w:val="0"/>
      <w:marTop w:val="0"/>
      <w:marBottom w:val="0"/>
      <w:divBdr>
        <w:top w:val="none" w:sz="0" w:space="0" w:color="auto"/>
        <w:left w:val="none" w:sz="0" w:space="0" w:color="auto"/>
        <w:bottom w:val="none" w:sz="0" w:space="0" w:color="auto"/>
        <w:right w:val="none" w:sz="0" w:space="0" w:color="auto"/>
      </w:divBdr>
    </w:div>
    <w:div w:id="36707527">
      <w:bodyDiv w:val="1"/>
      <w:marLeft w:val="0"/>
      <w:marRight w:val="0"/>
      <w:marTop w:val="0"/>
      <w:marBottom w:val="0"/>
      <w:divBdr>
        <w:top w:val="none" w:sz="0" w:space="0" w:color="auto"/>
        <w:left w:val="none" w:sz="0" w:space="0" w:color="auto"/>
        <w:bottom w:val="none" w:sz="0" w:space="0" w:color="auto"/>
        <w:right w:val="none" w:sz="0" w:space="0" w:color="auto"/>
      </w:divBdr>
    </w:div>
    <w:div w:id="44067947">
      <w:bodyDiv w:val="1"/>
      <w:marLeft w:val="0"/>
      <w:marRight w:val="0"/>
      <w:marTop w:val="0"/>
      <w:marBottom w:val="0"/>
      <w:divBdr>
        <w:top w:val="none" w:sz="0" w:space="0" w:color="auto"/>
        <w:left w:val="none" w:sz="0" w:space="0" w:color="auto"/>
        <w:bottom w:val="none" w:sz="0" w:space="0" w:color="auto"/>
        <w:right w:val="none" w:sz="0" w:space="0" w:color="auto"/>
      </w:divBdr>
    </w:div>
    <w:div w:id="90204741">
      <w:bodyDiv w:val="1"/>
      <w:marLeft w:val="0"/>
      <w:marRight w:val="0"/>
      <w:marTop w:val="0"/>
      <w:marBottom w:val="0"/>
      <w:divBdr>
        <w:top w:val="none" w:sz="0" w:space="0" w:color="auto"/>
        <w:left w:val="none" w:sz="0" w:space="0" w:color="auto"/>
        <w:bottom w:val="none" w:sz="0" w:space="0" w:color="auto"/>
        <w:right w:val="none" w:sz="0" w:space="0" w:color="auto"/>
      </w:divBdr>
    </w:div>
    <w:div w:id="97340322">
      <w:bodyDiv w:val="1"/>
      <w:marLeft w:val="0"/>
      <w:marRight w:val="0"/>
      <w:marTop w:val="0"/>
      <w:marBottom w:val="0"/>
      <w:divBdr>
        <w:top w:val="none" w:sz="0" w:space="0" w:color="auto"/>
        <w:left w:val="none" w:sz="0" w:space="0" w:color="auto"/>
        <w:bottom w:val="none" w:sz="0" w:space="0" w:color="auto"/>
        <w:right w:val="none" w:sz="0" w:space="0" w:color="auto"/>
      </w:divBdr>
    </w:div>
    <w:div w:id="98960777">
      <w:bodyDiv w:val="1"/>
      <w:marLeft w:val="0"/>
      <w:marRight w:val="0"/>
      <w:marTop w:val="0"/>
      <w:marBottom w:val="0"/>
      <w:divBdr>
        <w:top w:val="none" w:sz="0" w:space="0" w:color="auto"/>
        <w:left w:val="none" w:sz="0" w:space="0" w:color="auto"/>
        <w:bottom w:val="none" w:sz="0" w:space="0" w:color="auto"/>
        <w:right w:val="none" w:sz="0" w:space="0" w:color="auto"/>
      </w:divBdr>
    </w:div>
    <w:div w:id="110561892">
      <w:bodyDiv w:val="1"/>
      <w:marLeft w:val="0"/>
      <w:marRight w:val="0"/>
      <w:marTop w:val="0"/>
      <w:marBottom w:val="0"/>
      <w:divBdr>
        <w:top w:val="none" w:sz="0" w:space="0" w:color="auto"/>
        <w:left w:val="none" w:sz="0" w:space="0" w:color="auto"/>
        <w:bottom w:val="none" w:sz="0" w:space="0" w:color="auto"/>
        <w:right w:val="none" w:sz="0" w:space="0" w:color="auto"/>
      </w:divBdr>
    </w:div>
    <w:div w:id="130365006">
      <w:bodyDiv w:val="1"/>
      <w:marLeft w:val="0"/>
      <w:marRight w:val="0"/>
      <w:marTop w:val="0"/>
      <w:marBottom w:val="0"/>
      <w:divBdr>
        <w:top w:val="none" w:sz="0" w:space="0" w:color="auto"/>
        <w:left w:val="none" w:sz="0" w:space="0" w:color="auto"/>
        <w:bottom w:val="none" w:sz="0" w:space="0" w:color="auto"/>
        <w:right w:val="none" w:sz="0" w:space="0" w:color="auto"/>
      </w:divBdr>
    </w:div>
    <w:div w:id="155189403">
      <w:bodyDiv w:val="1"/>
      <w:marLeft w:val="0"/>
      <w:marRight w:val="0"/>
      <w:marTop w:val="0"/>
      <w:marBottom w:val="0"/>
      <w:divBdr>
        <w:top w:val="none" w:sz="0" w:space="0" w:color="auto"/>
        <w:left w:val="none" w:sz="0" w:space="0" w:color="auto"/>
        <w:bottom w:val="none" w:sz="0" w:space="0" w:color="auto"/>
        <w:right w:val="none" w:sz="0" w:space="0" w:color="auto"/>
      </w:divBdr>
    </w:div>
    <w:div w:id="186410518">
      <w:bodyDiv w:val="1"/>
      <w:marLeft w:val="0"/>
      <w:marRight w:val="0"/>
      <w:marTop w:val="0"/>
      <w:marBottom w:val="0"/>
      <w:divBdr>
        <w:top w:val="none" w:sz="0" w:space="0" w:color="auto"/>
        <w:left w:val="none" w:sz="0" w:space="0" w:color="auto"/>
        <w:bottom w:val="none" w:sz="0" w:space="0" w:color="auto"/>
        <w:right w:val="none" w:sz="0" w:space="0" w:color="auto"/>
      </w:divBdr>
    </w:div>
    <w:div w:id="188182920">
      <w:bodyDiv w:val="1"/>
      <w:marLeft w:val="0"/>
      <w:marRight w:val="0"/>
      <w:marTop w:val="0"/>
      <w:marBottom w:val="0"/>
      <w:divBdr>
        <w:top w:val="none" w:sz="0" w:space="0" w:color="auto"/>
        <w:left w:val="none" w:sz="0" w:space="0" w:color="auto"/>
        <w:bottom w:val="none" w:sz="0" w:space="0" w:color="auto"/>
        <w:right w:val="none" w:sz="0" w:space="0" w:color="auto"/>
      </w:divBdr>
    </w:div>
    <w:div w:id="198318659">
      <w:bodyDiv w:val="1"/>
      <w:marLeft w:val="0"/>
      <w:marRight w:val="0"/>
      <w:marTop w:val="0"/>
      <w:marBottom w:val="0"/>
      <w:divBdr>
        <w:top w:val="none" w:sz="0" w:space="0" w:color="auto"/>
        <w:left w:val="none" w:sz="0" w:space="0" w:color="auto"/>
        <w:bottom w:val="none" w:sz="0" w:space="0" w:color="auto"/>
        <w:right w:val="none" w:sz="0" w:space="0" w:color="auto"/>
      </w:divBdr>
    </w:div>
    <w:div w:id="207762715">
      <w:bodyDiv w:val="1"/>
      <w:marLeft w:val="0"/>
      <w:marRight w:val="0"/>
      <w:marTop w:val="0"/>
      <w:marBottom w:val="0"/>
      <w:divBdr>
        <w:top w:val="none" w:sz="0" w:space="0" w:color="auto"/>
        <w:left w:val="none" w:sz="0" w:space="0" w:color="auto"/>
        <w:bottom w:val="none" w:sz="0" w:space="0" w:color="auto"/>
        <w:right w:val="none" w:sz="0" w:space="0" w:color="auto"/>
      </w:divBdr>
    </w:div>
    <w:div w:id="214126575">
      <w:bodyDiv w:val="1"/>
      <w:marLeft w:val="0"/>
      <w:marRight w:val="0"/>
      <w:marTop w:val="0"/>
      <w:marBottom w:val="0"/>
      <w:divBdr>
        <w:top w:val="none" w:sz="0" w:space="0" w:color="auto"/>
        <w:left w:val="none" w:sz="0" w:space="0" w:color="auto"/>
        <w:bottom w:val="none" w:sz="0" w:space="0" w:color="auto"/>
        <w:right w:val="none" w:sz="0" w:space="0" w:color="auto"/>
      </w:divBdr>
    </w:div>
    <w:div w:id="217128734">
      <w:bodyDiv w:val="1"/>
      <w:marLeft w:val="0"/>
      <w:marRight w:val="0"/>
      <w:marTop w:val="0"/>
      <w:marBottom w:val="0"/>
      <w:divBdr>
        <w:top w:val="none" w:sz="0" w:space="0" w:color="auto"/>
        <w:left w:val="none" w:sz="0" w:space="0" w:color="auto"/>
        <w:bottom w:val="none" w:sz="0" w:space="0" w:color="auto"/>
        <w:right w:val="none" w:sz="0" w:space="0" w:color="auto"/>
      </w:divBdr>
    </w:div>
    <w:div w:id="221449531">
      <w:bodyDiv w:val="1"/>
      <w:marLeft w:val="0"/>
      <w:marRight w:val="0"/>
      <w:marTop w:val="0"/>
      <w:marBottom w:val="0"/>
      <w:divBdr>
        <w:top w:val="none" w:sz="0" w:space="0" w:color="auto"/>
        <w:left w:val="none" w:sz="0" w:space="0" w:color="auto"/>
        <w:bottom w:val="none" w:sz="0" w:space="0" w:color="auto"/>
        <w:right w:val="none" w:sz="0" w:space="0" w:color="auto"/>
      </w:divBdr>
    </w:div>
    <w:div w:id="227304986">
      <w:bodyDiv w:val="1"/>
      <w:marLeft w:val="0"/>
      <w:marRight w:val="0"/>
      <w:marTop w:val="0"/>
      <w:marBottom w:val="0"/>
      <w:divBdr>
        <w:top w:val="none" w:sz="0" w:space="0" w:color="auto"/>
        <w:left w:val="none" w:sz="0" w:space="0" w:color="auto"/>
        <w:bottom w:val="none" w:sz="0" w:space="0" w:color="auto"/>
        <w:right w:val="none" w:sz="0" w:space="0" w:color="auto"/>
      </w:divBdr>
    </w:div>
    <w:div w:id="275137435">
      <w:bodyDiv w:val="1"/>
      <w:marLeft w:val="0"/>
      <w:marRight w:val="0"/>
      <w:marTop w:val="0"/>
      <w:marBottom w:val="0"/>
      <w:divBdr>
        <w:top w:val="none" w:sz="0" w:space="0" w:color="auto"/>
        <w:left w:val="none" w:sz="0" w:space="0" w:color="auto"/>
        <w:bottom w:val="none" w:sz="0" w:space="0" w:color="auto"/>
        <w:right w:val="none" w:sz="0" w:space="0" w:color="auto"/>
      </w:divBdr>
    </w:div>
    <w:div w:id="346637453">
      <w:bodyDiv w:val="1"/>
      <w:marLeft w:val="0"/>
      <w:marRight w:val="0"/>
      <w:marTop w:val="0"/>
      <w:marBottom w:val="0"/>
      <w:divBdr>
        <w:top w:val="none" w:sz="0" w:space="0" w:color="auto"/>
        <w:left w:val="none" w:sz="0" w:space="0" w:color="auto"/>
        <w:bottom w:val="none" w:sz="0" w:space="0" w:color="auto"/>
        <w:right w:val="none" w:sz="0" w:space="0" w:color="auto"/>
      </w:divBdr>
    </w:div>
    <w:div w:id="368800084">
      <w:bodyDiv w:val="1"/>
      <w:marLeft w:val="0"/>
      <w:marRight w:val="0"/>
      <w:marTop w:val="0"/>
      <w:marBottom w:val="0"/>
      <w:divBdr>
        <w:top w:val="none" w:sz="0" w:space="0" w:color="auto"/>
        <w:left w:val="none" w:sz="0" w:space="0" w:color="auto"/>
        <w:bottom w:val="none" w:sz="0" w:space="0" w:color="auto"/>
        <w:right w:val="none" w:sz="0" w:space="0" w:color="auto"/>
      </w:divBdr>
    </w:div>
    <w:div w:id="375206476">
      <w:bodyDiv w:val="1"/>
      <w:marLeft w:val="0"/>
      <w:marRight w:val="0"/>
      <w:marTop w:val="0"/>
      <w:marBottom w:val="0"/>
      <w:divBdr>
        <w:top w:val="none" w:sz="0" w:space="0" w:color="auto"/>
        <w:left w:val="none" w:sz="0" w:space="0" w:color="auto"/>
        <w:bottom w:val="none" w:sz="0" w:space="0" w:color="auto"/>
        <w:right w:val="none" w:sz="0" w:space="0" w:color="auto"/>
      </w:divBdr>
    </w:div>
    <w:div w:id="396439314">
      <w:bodyDiv w:val="1"/>
      <w:marLeft w:val="0"/>
      <w:marRight w:val="0"/>
      <w:marTop w:val="0"/>
      <w:marBottom w:val="0"/>
      <w:divBdr>
        <w:top w:val="none" w:sz="0" w:space="0" w:color="auto"/>
        <w:left w:val="none" w:sz="0" w:space="0" w:color="auto"/>
        <w:bottom w:val="none" w:sz="0" w:space="0" w:color="auto"/>
        <w:right w:val="none" w:sz="0" w:space="0" w:color="auto"/>
      </w:divBdr>
    </w:div>
    <w:div w:id="399448713">
      <w:bodyDiv w:val="1"/>
      <w:marLeft w:val="0"/>
      <w:marRight w:val="0"/>
      <w:marTop w:val="0"/>
      <w:marBottom w:val="0"/>
      <w:divBdr>
        <w:top w:val="none" w:sz="0" w:space="0" w:color="auto"/>
        <w:left w:val="none" w:sz="0" w:space="0" w:color="auto"/>
        <w:bottom w:val="none" w:sz="0" w:space="0" w:color="auto"/>
        <w:right w:val="none" w:sz="0" w:space="0" w:color="auto"/>
      </w:divBdr>
    </w:div>
    <w:div w:id="426998235">
      <w:bodyDiv w:val="1"/>
      <w:marLeft w:val="0"/>
      <w:marRight w:val="0"/>
      <w:marTop w:val="0"/>
      <w:marBottom w:val="0"/>
      <w:divBdr>
        <w:top w:val="none" w:sz="0" w:space="0" w:color="auto"/>
        <w:left w:val="none" w:sz="0" w:space="0" w:color="auto"/>
        <w:bottom w:val="none" w:sz="0" w:space="0" w:color="auto"/>
        <w:right w:val="none" w:sz="0" w:space="0" w:color="auto"/>
      </w:divBdr>
    </w:div>
    <w:div w:id="446512385">
      <w:bodyDiv w:val="1"/>
      <w:marLeft w:val="0"/>
      <w:marRight w:val="0"/>
      <w:marTop w:val="0"/>
      <w:marBottom w:val="0"/>
      <w:divBdr>
        <w:top w:val="none" w:sz="0" w:space="0" w:color="auto"/>
        <w:left w:val="none" w:sz="0" w:space="0" w:color="auto"/>
        <w:bottom w:val="none" w:sz="0" w:space="0" w:color="auto"/>
        <w:right w:val="none" w:sz="0" w:space="0" w:color="auto"/>
      </w:divBdr>
    </w:div>
    <w:div w:id="471101339">
      <w:bodyDiv w:val="1"/>
      <w:marLeft w:val="0"/>
      <w:marRight w:val="0"/>
      <w:marTop w:val="0"/>
      <w:marBottom w:val="0"/>
      <w:divBdr>
        <w:top w:val="none" w:sz="0" w:space="0" w:color="auto"/>
        <w:left w:val="none" w:sz="0" w:space="0" w:color="auto"/>
        <w:bottom w:val="none" w:sz="0" w:space="0" w:color="auto"/>
        <w:right w:val="none" w:sz="0" w:space="0" w:color="auto"/>
      </w:divBdr>
    </w:div>
    <w:div w:id="488595951">
      <w:bodyDiv w:val="1"/>
      <w:marLeft w:val="0"/>
      <w:marRight w:val="0"/>
      <w:marTop w:val="0"/>
      <w:marBottom w:val="0"/>
      <w:divBdr>
        <w:top w:val="none" w:sz="0" w:space="0" w:color="auto"/>
        <w:left w:val="none" w:sz="0" w:space="0" w:color="auto"/>
        <w:bottom w:val="none" w:sz="0" w:space="0" w:color="auto"/>
        <w:right w:val="none" w:sz="0" w:space="0" w:color="auto"/>
      </w:divBdr>
    </w:div>
    <w:div w:id="507067098">
      <w:bodyDiv w:val="1"/>
      <w:marLeft w:val="0"/>
      <w:marRight w:val="0"/>
      <w:marTop w:val="0"/>
      <w:marBottom w:val="0"/>
      <w:divBdr>
        <w:top w:val="none" w:sz="0" w:space="0" w:color="auto"/>
        <w:left w:val="none" w:sz="0" w:space="0" w:color="auto"/>
        <w:bottom w:val="none" w:sz="0" w:space="0" w:color="auto"/>
        <w:right w:val="none" w:sz="0" w:space="0" w:color="auto"/>
      </w:divBdr>
    </w:div>
    <w:div w:id="544952239">
      <w:bodyDiv w:val="1"/>
      <w:marLeft w:val="0"/>
      <w:marRight w:val="0"/>
      <w:marTop w:val="0"/>
      <w:marBottom w:val="0"/>
      <w:divBdr>
        <w:top w:val="none" w:sz="0" w:space="0" w:color="auto"/>
        <w:left w:val="none" w:sz="0" w:space="0" w:color="auto"/>
        <w:bottom w:val="none" w:sz="0" w:space="0" w:color="auto"/>
        <w:right w:val="none" w:sz="0" w:space="0" w:color="auto"/>
      </w:divBdr>
    </w:div>
    <w:div w:id="554661114">
      <w:bodyDiv w:val="1"/>
      <w:marLeft w:val="0"/>
      <w:marRight w:val="0"/>
      <w:marTop w:val="0"/>
      <w:marBottom w:val="0"/>
      <w:divBdr>
        <w:top w:val="none" w:sz="0" w:space="0" w:color="auto"/>
        <w:left w:val="none" w:sz="0" w:space="0" w:color="auto"/>
        <w:bottom w:val="none" w:sz="0" w:space="0" w:color="auto"/>
        <w:right w:val="none" w:sz="0" w:space="0" w:color="auto"/>
      </w:divBdr>
    </w:div>
    <w:div w:id="592124535">
      <w:bodyDiv w:val="1"/>
      <w:marLeft w:val="0"/>
      <w:marRight w:val="0"/>
      <w:marTop w:val="0"/>
      <w:marBottom w:val="0"/>
      <w:divBdr>
        <w:top w:val="none" w:sz="0" w:space="0" w:color="auto"/>
        <w:left w:val="none" w:sz="0" w:space="0" w:color="auto"/>
        <w:bottom w:val="none" w:sz="0" w:space="0" w:color="auto"/>
        <w:right w:val="none" w:sz="0" w:space="0" w:color="auto"/>
      </w:divBdr>
    </w:div>
    <w:div w:id="597829901">
      <w:bodyDiv w:val="1"/>
      <w:marLeft w:val="0"/>
      <w:marRight w:val="0"/>
      <w:marTop w:val="0"/>
      <w:marBottom w:val="0"/>
      <w:divBdr>
        <w:top w:val="none" w:sz="0" w:space="0" w:color="auto"/>
        <w:left w:val="none" w:sz="0" w:space="0" w:color="auto"/>
        <w:bottom w:val="none" w:sz="0" w:space="0" w:color="auto"/>
        <w:right w:val="none" w:sz="0" w:space="0" w:color="auto"/>
      </w:divBdr>
    </w:div>
    <w:div w:id="606696229">
      <w:bodyDiv w:val="1"/>
      <w:marLeft w:val="0"/>
      <w:marRight w:val="0"/>
      <w:marTop w:val="0"/>
      <w:marBottom w:val="0"/>
      <w:divBdr>
        <w:top w:val="none" w:sz="0" w:space="0" w:color="auto"/>
        <w:left w:val="none" w:sz="0" w:space="0" w:color="auto"/>
        <w:bottom w:val="none" w:sz="0" w:space="0" w:color="auto"/>
        <w:right w:val="none" w:sz="0" w:space="0" w:color="auto"/>
      </w:divBdr>
    </w:div>
    <w:div w:id="617417067">
      <w:bodyDiv w:val="1"/>
      <w:marLeft w:val="0"/>
      <w:marRight w:val="0"/>
      <w:marTop w:val="0"/>
      <w:marBottom w:val="0"/>
      <w:divBdr>
        <w:top w:val="none" w:sz="0" w:space="0" w:color="auto"/>
        <w:left w:val="none" w:sz="0" w:space="0" w:color="auto"/>
        <w:bottom w:val="none" w:sz="0" w:space="0" w:color="auto"/>
        <w:right w:val="none" w:sz="0" w:space="0" w:color="auto"/>
      </w:divBdr>
    </w:div>
    <w:div w:id="624579293">
      <w:bodyDiv w:val="1"/>
      <w:marLeft w:val="0"/>
      <w:marRight w:val="0"/>
      <w:marTop w:val="0"/>
      <w:marBottom w:val="0"/>
      <w:divBdr>
        <w:top w:val="none" w:sz="0" w:space="0" w:color="auto"/>
        <w:left w:val="none" w:sz="0" w:space="0" w:color="auto"/>
        <w:bottom w:val="none" w:sz="0" w:space="0" w:color="auto"/>
        <w:right w:val="none" w:sz="0" w:space="0" w:color="auto"/>
      </w:divBdr>
    </w:div>
    <w:div w:id="627711947">
      <w:bodyDiv w:val="1"/>
      <w:marLeft w:val="0"/>
      <w:marRight w:val="0"/>
      <w:marTop w:val="0"/>
      <w:marBottom w:val="0"/>
      <w:divBdr>
        <w:top w:val="none" w:sz="0" w:space="0" w:color="auto"/>
        <w:left w:val="none" w:sz="0" w:space="0" w:color="auto"/>
        <w:bottom w:val="none" w:sz="0" w:space="0" w:color="auto"/>
        <w:right w:val="none" w:sz="0" w:space="0" w:color="auto"/>
      </w:divBdr>
    </w:div>
    <w:div w:id="640621309">
      <w:bodyDiv w:val="1"/>
      <w:marLeft w:val="0"/>
      <w:marRight w:val="0"/>
      <w:marTop w:val="0"/>
      <w:marBottom w:val="0"/>
      <w:divBdr>
        <w:top w:val="none" w:sz="0" w:space="0" w:color="auto"/>
        <w:left w:val="none" w:sz="0" w:space="0" w:color="auto"/>
        <w:bottom w:val="none" w:sz="0" w:space="0" w:color="auto"/>
        <w:right w:val="none" w:sz="0" w:space="0" w:color="auto"/>
      </w:divBdr>
    </w:div>
    <w:div w:id="666787090">
      <w:bodyDiv w:val="1"/>
      <w:marLeft w:val="0"/>
      <w:marRight w:val="0"/>
      <w:marTop w:val="0"/>
      <w:marBottom w:val="0"/>
      <w:divBdr>
        <w:top w:val="none" w:sz="0" w:space="0" w:color="auto"/>
        <w:left w:val="none" w:sz="0" w:space="0" w:color="auto"/>
        <w:bottom w:val="none" w:sz="0" w:space="0" w:color="auto"/>
        <w:right w:val="none" w:sz="0" w:space="0" w:color="auto"/>
      </w:divBdr>
    </w:div>
    <w:div w:id="669260176">
      <w:bodyDiv w:val="1"/>
      <w:marLeft w:val="0"/>
      <w:marRight w:val="0"/>
      <w:marTop w:val="0"/>
      <w:marBottom w:val="0"/>
      <w:divBdr>
        <w:top w:val="none" w:sz="0" w:space="0" w:color="auto"/>
        <w:left w:val="none" w:sz="0" w:space="0" w:color="auto"/>
        <w:bottom w:val="none" w:sz="0" w:space="0" w:color="auto"/>
        <w:right w:val="none" w:sz="0" w:space="0" w:color="auto"/>
      </w:divBdr>
    </w:div>
    <w:div w:id="719521412">
      <w:bodyDiv w:val="1"/>
      <w:marLeft w:val="0"/>
      <w:marRight w:val="0"/>
      <w:marTop w:val="0"/>
      <w:marBottom w:val="0"/>
      <w:divBdr>
        <w:top w:val="none" w:sz="0" w:space="0" w:color="auto"/>
        <w:left w:val="none" w:sz="0" w:space="0" w:color="auto"/>
        <w:bottom w:val="none" w:sz="0" w:space="0" w:color="auto"/>
        <w:right w:val="none" w:sz="0" w:space="0" w:color="auto"/>
      </w:divBdr>
    </w:div>
    <w:div w:id="724762632">
      <w:bodyDiv w:val="1"/>
      <w:marLeft w:val="0"/>
      <w:marRight w:val="0"/>
      <w:marTop w:val="0"/>
      <w:marBottom w:val="0"/>
      <w:divBdr>
        <w:top w:val="none" w:sz="0" w:space="0" w:color="auto"/>
        <w:left w:val="none" w:sz="0" w:space="0" w:color="auto"/>
        <w:bottom w:val="none" w:sz="0" w:space="0" w:color="auto"/>
        <w:right w:val="none" w:sz="0" w:space="0" w:color="auto"/>
      </w:divBdr>
    </w:div>
    <w:div w:id="732243122">
      <w:bodyDiv w:val="1"/>
      <w:marLeft w:val="0"/>
      <w:marRight w:val="0"/>
      <w:marTop w:val="0"/>
      <w:marBottom w:val="0"/>
      <w:divBdr>
        <w:top w:val="none" w:sz="0" w:space="0" w:color="auto"/>
        <w:left w:val="none" w:sz="0" w:space="0" w:color="auto"/>
        <w:bottom w:val="none" w:sz="0" w:space="0" w:color="auto"/>
        <w:right w:val="none" w:sz="0" w:space="0" w:color="auto"/>
      </w:divBdr>
    </w:div>
    <w:div w:id="754857560">
      <w:bodyDiv w:val="1"/>
      <w:marLeft w:val="0"/>
      <w:marRight w:val="0"/>
      <w:marTop w:val="0"/>
      <w:marBottom w:val="0"/>
      <w:divBdr>
        <w:top w:val="none" w:sz="0" w:space="0" w:color="auto"/>
        <w:left w:val="none" w:sz="0" w:space="0" w:color="auto"/>
        <w:bottom w:val="none" w:sz="0" w:space="0" w:color="auto"/>
        <w:right w:val="none" w:sz="0" w:space="0" w:color="auto"/>
      </w:divBdr>
    </w:div>
    <w:div w:id="756751819">
      <w:bodyDiv w:val="1"/>
      <w:marLeft w:val="0"/>
      <w:marRight w:val="0"/>
      <w:marTop w:val="0"/>
      <w:marBottom w:val="0"/>
      <w:divBdr>
        <w:top w:val="none" w:sz="0" w:space="0" w:color="auto"/>
        <w:left w:val="none" w:sz="0" w:space="0" w:color="auto"/>
        <w:bottom w:val="none" w:sz="0" w:space="0" w:color="auto"/>
        <w:right w:val="none" w:sz="0" w:space="0" w:color="auto"/>
      </w:divBdr>
    </w:div>
    <w:div w:id="766197664">
      <w:bodyDiv w:val="1"/>
      <w:marLeft w:val="0"/>
      <w:marRight w:val="0"/>
      <w:marTop w:val="0"/>
      <w:marBottom w:val="0"/>
      <w:divBdr>
        <w:top w:val="none" w:sz="0" w:space="0" w:color="auto"/>
        <w:left w:val="none" w:sz="0" w:space="0" w:color="auto"/>
        <w:bottom w:val="none" w:sz="0" w:space="0" w:color="auto"/>
        <w:right w:val="none" w:sz="0" w:space="0" w:color="auto"/>
      </w:divBdr>
    </w:div>
    <w:div w:id="772438600">
      <w:bodyDiv w:val="1"/>
      <w:marLeft w:val="0"/>
      <w:marRight w:val="0"/>
      <w:marTop w:val="0"/>
      <w:marBottom w:val="0"/>
      <w:divBdr>
        <w:top w:val="none" w:sz="0" w:space="0" w:color="auto"/>
        <w:left w:val="none" w:sz="0" w:space="0" w:color="auto"/>
        <w:bottom w:val="none" w:sz="0" w:space="0" w:color="auto"/>
        <w:right w:val="none" w:sz="0" w:space="0" w:color="auto"/>
      </w:divBdr>
    </w:div>
    <w:div w:id="776171638">
      <w:bodyDiv w:val="1"/>
      <w:marLeft w:val="0"/>
      <w:marRight w:val="0"/>
      <w:marTop w:val="0"/>
      <w:marBottom w:val="0"/>
      <w:divBdr>
        <w:top w:val="none" w:sz="0" w:space="0" w:color="auto"/>
        <w:left w:val="none" w:sz="0" w:space="0" w:color="auto"/>
        <w:bottom w:val="none" w:sz="0" w:space="0" w:color="auto"/>
        <w:right w:val="none" w:sz="0" w:space="0" w:color="auto"/>
      </w:divBdr>
    </w:div>
    <w:div w:id="778913953">
      <w:bodyDiv w:val="1"/>
      <w:marLeft w:val="0"/>
      <w:marRight w:val="0"/>
      <w:marTop w:val="0"/>
      <w:marBottom w:val="0"/>
      <w:divBdr>
        <w:top w:val="none" w:sz="0" w:space="0" w:color="auto"/>
        <w:left w:val="none" w:sz="0" w:space="0" w:color="auto"/>
        <w:bottom w:val="none" w:sz="0" w:space="0" w:color="auto"/>
        <w:right w:val="none" w:sz="0" w:space="0" w:color="auto"/>
      </w:divBdr>
    </w:div>
    <w:div w:id="783961958">
      <w:bodyDiv w:val="1"/>
      <w:marLeft w:val="0"/>
      <w:marRight w:val="0"/>
      <w:marTop w:val="0"/>
      <w:marBottom w:val="0"/>
      <w:divBdr>
        <w:top w:val="none" w:sz="0" w:space="0" w:color="auto"/>
        <w:left w:val="none" w:sz="0" w:space="0" w:color="auto"/>
        <w:bottom w:val="none" w:sz="0" w:space="0" w:color="auto"/>
        <w:right w:val="none" w:sz="0" w:space="0" w:color="auto"/>
      </w:divBdr>
    </w:div>
    <w:div w:id="826017310">
      <w:bodyDiv w:val="1"/>
      <w:marLeft w:val="0"/>
      <w:marRight w:val="0"/>
      <w:marTop w:val="0"/>
      <w:marBottom w:val="0"/>
      <w:divBdr>
        <w:top w:val="none" w:sz="0" w:space="0" w:color="auto"/>
        <w:left w:val="none" w:sz="0" w:space="0" w:color="auto"/>
        <w:bottom w:val="none" w:sz="0" w:space="0" w:color="auto"/>
        <w:right w:val="none" w:sz="0" w:space="0" w:color="auto"/>
      </w:divBdr>
    </w:div>
    <w:div w:id="839469113">
      <w:bodyDiv w:val="1"/>
      <w:marLeft w:val="0"/>
      <w:marRight w:val="0"/>
      <w:marTop w:val="0"/>
      <w:marBottom w:val="0"/>
      <w:divBdr>
        <w:top w:val="none" w:sz="0" w:space="0" w:color="auto"/>
        <w:left w:val="none" w:sz="0" w:space="0" w:color="auto"/>
        <w:bottom w:val="none" w:sz="0" w:space="0" w:color="auto"/>
        <w:right w:val="none" w:sz="0" w:space="0" w:color="auto"/>
      </w:divBdr>
    </w:div>
    <w:div w:id="842471343">
      <w:bodyDiv w:val="1"/>
      <w:marLeft w:val="0"/>
      <w:marRight w:val="0"/>
      <w:marTop w:val="0"/>
      <w:marBottom w:val="0"/>
      <w:divBdr>
        <w:top w:val="none" w:sz="0" w:space="0" w:color="auto"/>
        <w:left w:val="none" w:sz="0" w:space="0" w:color="auto"/>
        <w:bottom w:val="none" w:sz="0" w:space="0" w:color="auto"/>
        <w:right w:val="none" w:sz="0" w:space="0" w:color="auto"/>
      </w:divBdr>
    </w:div>
    <w:div w:id="873035458">
      <w:bodyDiv w:val="1"/>
      <w:marLeft w:val="0"/>
      <w:marRight w:val="0"/>
      <w:marTop w:val="0"/>
      <w:marBottom w:val="0"/>
      <w:divBdr>
        <w:top w:val="none" w:sz="0" w:space="0" w:color="auto"/>
        <w:left w:val="none" w:sz="0" w:space="0" w:color="auto"/>
        <w:bottom w:val="none" w:sz="0" w:space="0" w:color="auto"/>
        <w:right w:val="none" w:sz="0" w:space="0" w:color="auto"/>
      </w:divBdr>
    </w:div>
    <w:div w:id="923992576">
      <w:bodyDiv w:val="1"/>
      <w:marLeft w:val="0"/>
      <w:marRight w:val="0"/>
      <w:marTop w:val="0"/>
      <w:marBottom w:val="0"/>
      <w:divBdr>
        <w:top w:val="none" w:sz="0" w:space="0" w:color="auto"/>
        <w:left w:val="none" w:sz="0" w:space="0" w:color="auto"/>
        <w:bottom w:val="none" w:sz="0" w:space="0" w:color="auto"/>
        <w:right w:val="none" w:sz="0" w:space="0" w:color="auto"/>
      </w:divBdr>
    </w:div>
    <w:div w:id="933198858">
      <w:bodyDiv w:val="1"/>
      <w:marLeft w:val="0"/>
      <w:marRight w:val="0"/>
      <w:marTop w:val="0"/>
      <w:marBottom w:val="0"/>
      <w:divBdr>
        <w:top w:val="none" w:sz="0" w:space="0" w:color="auto"/>
        <w:left w:val="none" w:sz="0" w:space="0" w:color="auto"/>
        <w:bottom w:val="none" w:sz="0" w:space="0" w:color="auto"/>
        <w:right w:val="none" w:sz="0" w:space="0" w:color="auto"/>
      </w:divBdr>
    </w:div>
    <w:div w:id="950893038">
      <w:bodyDiv w:val="1"/>
      <w:marLeft w:val="0"/>
      <w:marRight w:val="0"/>
      <w:marTop w:val="0"/>
      <w:marBottom w:val="0"/>
      <w:divBdr>
        <w:top w:val="none" w:sz="0" w:space="0" w:color="auto"/>
        <w:left w:val="none" w:sz="0" w:space="0" w:color="auto"/>
        <w:bottom w:val="none" w:sz="0" w:space="0" w:color="auto"/>
        <w:right w:val="none" w:sz="0" w:space="0" w:color="auto"/>
      </w:divBdr>
    </w:div>
    <w:div w:id="957219356">
      <w:bodyDiv w:val="1"/>
      <w:marLeft w:val="0"/>
      <w:marRight w:val="0"/>
      <w:marTop w:val="0"/>
      <w:marBottom w:val="0"/>
      <w:divBdr>
        <w:top w:val="none" w:sz="0" w:space="0" w:color="auto"/>
        <w:left w:val="none" w:sz="0" w:space="0" w:color="auto"/>
        <w:bottom w:val="none" w:sz="0" w:space="0" w:color="auto"/>
        <w:right w:val="none" w:sz="0" w:space="0" w:color="auto"/>
      </w:divBdr>
    </w:div>
    <w:div w:id="970940119">
      <w:bodyDiv w:val="1"/>
      <w:marLeft w:val="0"/>
      <w:marRight w:val="0"/>
      <w:marTop w:val="0"/>
      <w:marBottom w:val="0"/>
      <w:divBdr>
        <w:top w:val="none" w:sz="0" w:space="0" w:color="auto"/>
        <w:left w:val="none" w:sz="0" w:space="0" w:color="auto"/>
        <w:bottom w:val="none" w:sz="0" w:space="0" w:color="auto"/>
        <w:right w:val="none" w:sz="0" w:space="0" w:color="auto"/>
      </w:divBdr>
    </w:div>
    <w:div w:id="973566227">
      <w:bodyDiv w:val="1"/>
      <w:marLeft w:val="0"/>
      <w:marRight w:val="0"/>
      <w:marTop w:val="0"/>
      <w:marBottom w:val="0"/>
      <w:divBdr>
        <w:top w:val="none" w:sz="0" w:space="0" w:color="auto"/>
        <w:left w:val="none" w:sz="0" w:space="0" w:color="auto"/>
        <w:bottom w:val="none" w:sz="0" w:space="0" w:color="auto"/>
        <w:right w:val="none" w:sz="0" w:space="0" w:color="auto"/>
      </w:divBdr>
    </w:div>
    <w:div w:id="997534525">
      <w:bodyDiv w:val="1"/>
      <w:marLeft w:val="0"/>
      <w:marRight w:val="0"/>
      <w:marTop w:val="0"/>
      <w:marBottom w:val="0"/>
      <w:divBdr>
        <w:top w:val="none" w:sz="0" w:space="0" w:color="auto"/>
        <w:left w:val="none" w:sz="0" w:space="0" w:color="auto"/>
        <w:bottom w:val="none" w:sz="0" w:space="0" w:color="auto"/>
        <w:right w:val="none" w:sz="0" w:space="0" w:color="auto"/>
      </w:divBdr>
    </w:div>
    <w:div w:id="999385105">
      <w:bodyDiv w:val="1"/>
      <w:marLeft w:val="0"/>
      <w:marRight w:val="0"/>
      <w:marTop w:val="0"/>
      <w:marBottom w:val="0"/>
      <w:divBdr>
        <w:top w:val="none" w:sz="0" w:space="0" w:color="auto"/>
        <w:left w:val="none" w:sz="0" w:space="0" w:color="auto"/>
        <w:bottom w:val="none" w:sz="0" w:space="0" w:color="auto"/>
        <w:right w:val="none" w:sz="0" w:space="0" w:color="auto"/>
      </w:divBdr>
    </w:div>
    <w:div w:id="1000503071">
      <w:bodyDiv w:val="1"/>
      <w:marLeft w:val="0"/>
      <w:marRight w:val="0"/>
      <w:marTop w:val="0"/>
      <w:marBottom w:val="0"/>
      <w:divBdr>
        <w:top w:val="none" w:sz="0" w:space="0" w:color="auto"/>
        <w:left w:val="none" w:sz="0" w:space="0" w:color="auto"/>
        <w:bottom w:val="none" w:sz="0" w:space="0" w:color="auto"/>
        <w:right w:val="none" w:sz="0" w:space="0" w:color="auto"/>
      </w:divBdr>
    </w:div>
    <w:div w:id="1035888033">
      <w:bodyDiv w:val="1"/>
      <w:marLeft w:val="0"/>
      <w:marRight w:val="0"/>
      <w:marTop w:val="0"/>
      <w:marBottom w:val="0"/>
      <w:divBdr>
        <w:top w:val="none" w:sz="0" w:space="0" w:color="auto"/>
        <w:left w:val="none" w:sz="0" w:space="0" w:color="auto"/>
        <w:bottom w:val="none" w:sz="0" w:space="0" w:color="auto"/>
        <w:right w:val="none" w:sz="0" w:space="0" w:color="auto"/>
      </w:divBdr>
    </w:div>
    <w:div w:id="1046569057">
      <w:bodyDiv w:val="1"/>
      <w:marLeft w:val="0"/>
      <w:marRight w:val="0"/>
      <w:marTop w:val="0"/>
      <w:marBottom w:val="0"/>
      <w:divBdr>
        <w:top w:val="none" w:sz="0" w:space="0" w:color="auto"/>
        <w:left w:val="none" w:sz="0" w:space="0" w:color="auto"/>
        <w:bottom w:val="none" w:sz="0" w:space="0" w:color="auto"/>
        <w:right w:val="none" w:sz="0" w:space="0" w:color="auto"/>
      </w:divBdr>
    </w:div>
    <w:div w:id="1048608014">
      <w:bodyDiv w:val="1"/>
      <w:marLeft w:val="0"/>
      <w:marRight w:val="0"/>
      <w:marTop w:val="0"/>
      <w:marBottom w:val="0"/>
      <w:divBdr>
        <w:top w:val="none" w:sz="0" w:space="0" w:color="auto"/>
        <w:left w:val="none" w:sz="0" w:space="0" w:color="auto"/>
        <w:bottom w:val="none" w:sz="0" w:space="0" w:color="auto"/>
        <w:right w:val="none" w:sz="0" w:space="0" w:color="auto"/>
      </w:divBdr>
    </w:div>
    <w:div w:id="1074399563">
      <w:bodyDiv w:val="1"/>
      <w:marLeft w:val="0"/>
      <w:marRight w:val="0"/>
      <w:marTop w:val="0"/>
      <w:marBottom w:val="0"/>
      <w:divBdr>
        <w:top w:val="none" w:sz="0" w:space="0" w:color="auto"/>
        <w:left w:val="none" w:sz="0" w:space="0" w:color="auto"/>
        <w:bottom w:val="none" w:sz="0" w:space="0" w:color="auto"/>
        <w:right w:val="none" w:sz="0" w:space="0" w:color="auto"/>
      </w:divBdr>
    </w:div>
    <w:div w:id="1075011063">
      <w:bodyDiv w:val="1"/>
      <w:marLeft w:val="0"/>
      <w:marRight w:val="0"/>
      <w:marTop w:val="0"/>
      <w:marBottom w:val="0"/>
      <w:divBdr>
        <w:top w:val="none" w:sz="0" w:space="0" w:color="auto"/>
        <w:left w:val="none" w:sz="0" w:space="0" w:color="auto"/>
        <w:bottom w:val="none" w:sz="0" w:space="0" w:color="auto"/>
        <w:right w:val="none" w:sz="0" w:space="0" w:color="auto"/>
      </w:divBdr>
    </w:div>
    <w:div w:id="1102609085">
      <w:bodyDiv w:val="1"/>
      <w:marLeft w:val="0"/>
      <w:marRight w:val="0"/>
      <w:marTop w:val="0"/>
      <w:marBottom w:val="0"/>
      <w:divBdr>
        <w:top w:val="none" w:sz="0" w:space="0" w:color="auto"/>
        <w:left w:val="none" w:sz="0" w:space="0" w:color="auto"/>
        <w:bottom w:val="none" w:sz="0" w:space="0" w:color="auto"/>
        <w:right w:val="none" w:sz="0" w:space="0" w:color="auto"/>
      </w:divBdr>
    </w:div>
    <w:div w:id="1119564297">
      <w:bodyDiv w:val="1"/>
      <w:marLeft w:val="0"/>
      <w:marRight w:val="0"/>
      <w:marTop w:val="0"/>
      <w:marBottom w:val="0"/>
      <w:divBdr>
        <w:top w:val="none" w:sz="0" w:space="0" w:color="auto"/>
        <w:left w:val="none" w:sz="0" w:space="0" w:color="auto"/>
        <w:bottom w:val="none" w:sz="0" w:space="0" w:color="auto"/>
        <w:right w:val="none" w:sz="0" w:space="0" w:color="auto"/>
      </w:divBdr>
    </w:div>
    <w:div w:id="1124034211">
      <w:bodyDiv w:val="1"/>
      <w:marLeft w:val="0"/>
      <w:marRight w:val="0"/>
      <w:marTop w:val="0"/>
      <w:marBottom w:val="0"/>
      <w:divBdr>
        <w:top w:val="none" w:sz="0" w:space="0" w:color="auto"/>
        <w:left w:val="none" w:sz="0" w:space="0" w:color="auto"/>
        <w:bottom w:val="none" w:sz="0" w:space="0" w:color="auto"/>
        <w:right w:val="none" w:sz="0" w:space="0" w:color="auto"/>
      </w:divBdr>
    </w:div>
    <w:div w:id="1126703613">
      <w:bodyDiv w:val="1"/>
      <w:marLeft w:val="0"/>
      <w:marRight w:val="0"/>
      <w:marTop w:val="0"/>
      <w:marBottom w:val="0"/>
      <w:divBdr>
        <w:top w:val="none" w:sz="0" w:space="0" w:color="auto"/>
        <w:left w:val="none" w:sz="0" w:space="0" w:color="auto"/>
        <w:bottom w:val="none" w:sz="0" w:space="0" w:color="auto"/>
        <w:right w:val="none" w:sz="0" w:space="0" w:color="auto"/>
      </w:divBdr>
    </w:div>
    <w:div w:id="1143110977">
      <w:bodyDiv w:val="1"/>
      <w:marLeft w:val="0"/>
      <w:marRight w:val="0"/>
      <w:marTop w:val="0"/>
      <w:marBottom w:val="0"/>
      <w:divBdr>
        <w:top w:val="none" w:sz="0" w:space="0" w:color="auto"/>
        <w:left w:val="none" w:sz="0" w:space="0" w:color="auto"/>
        <w:bottom w:val="none" w:sz="0" w:space="0" w:color="auto"/>
        <w:right w:val="none" w:sz="0" w:space="0" w:color="auto"/>
      </w:divBdr>
    </w:div>
    <w:div w:id="1145396695">
      <w:bodyDiv w:val="1"/>
      <w:marLeft w:val="0"/>
      <w:marRight w:val="0"/>
      <w:marTop w:val="0"/>
      <w:marBottom w:val="0"/>
      <w:divBdr>
        <w:top w:val="none" w:sz="0" w:space="0" w:color="auto"/>
        <w:left w:val="none" w:sz="0" w:space="0" w:color="auto"/>
        <w:bottom w:val="none" w:sz="0" w:space="0" w:color="auto"/>
        <w:right w:val="none" w:sz="0" w:space="0" w:color="auto"/>
      </w:divBdr>
    </w:div>
    <w:div w:id="1149442592">
      <w:bodyDiv w:val="1"/>
      <w:marLeft w:val="0"/>
      <w:marRight w:val="0"/>
      <w:marTop w:val="0"/>
      <w:marBottom w:val="0"/>
      <w:divBdr>
        <w:top w:val="none" w:sz="0" w:space="0" w:color="auto"/>
        <w:left w:val="none" w:sz="0" w:space="0" w:color="auto"/>
        <w:bottom w:val="none" w:sz="0" w:space="0" w:color="auto"/>
        <w:right w:val="none" w:sz="0" w:space="0" w:color="auto"/>
      </w:divBdr>
    </w:div>
    <w:div w:id="1153177475">
      <w:bodyDiv w:val="1"/>
      <w:marLeft w:val="0"/>
      <w:marRight w:val="0"/>
      <w:marTop w:val="0"/>
      <w:marBottom w:val="0"/>
      <w:divBdr>
        <w:top w:val="none" w:sz="0" w:space="0" w:color="auto"/>
        <w:left w:val="none" w:sz="0" w:space="0" w:color="auto"/>
        <w:bottom w:val="none" w:sz="0" w:space="0" w:color="auto"/>
        <w:right w:val="none" w:sz="0" w:space="0" w:color="auto"/>
      </w:divBdr>
    </w:div>
    <w:div w:id="1162160126">
      <w:bodyDiv w:val="1"/>
      <w:marLeft w:val="0"/>
      <w:marRight w:val="0"/>
      <w:marTop w:val="0"/>
      <w:marBottom w:val="0"/>
      <w:divBdr>
        <w:top w:val="none" w:sz="0" w:space="0" w:color="auto"/>
        <w:left w:val="none" w:sz="0" w:space="0" w:color="auto"/>
        <w:bottom w:val="none" w:sz="0" w:space="0" w:color="auto"/>
        <w:right w:val="none" w:sz="0" w:space="0" w:color="auto"/>
      </w:divBdr>
    </w:div>
    <w:div w:id="1163400068">
      <w:bodyDiv w:val="1"/>
      <w:marLeft w:val="0"/>
      <w:marRight w:val="0"/>
      <w:marTop w:val="0"/>
      <w:marBottom w:val="0"/>
      <w:divBdr>
        <w:top w:val="none" w:sz="0" w:space="0" w:color="auto"/>
        <w:left w:val="none" w:sz="0" w:space="0" w:color="auto"/>
        <w:bottom w:val="none" w:sz="0" w:space="0" w:color="auto"/>
        <w:right w:val="none" w:sz="0" w:space="0" w:color="auto"/>
      </w:divBdr>
    </w:div>
    <w:div w:id="1198811283">
      <w:bodyDiv w:val="1"/>
      <w:marLeft w:val="0"/>
      <w:marRight w:val="0"/>
      <w:marTop w:val="0"/>
      <w:marBottom w:val="0"/>
      <w:divBdr>
        <w:top w:val="none" w:sz="0" w:space="0" w:color="auto"/>
        <w:left w:val="none" w:sz="0" w:space="0" w:color="auto"/>
        <w:bottom w:val="none" w:sz="0" w:space="0" w:color="auto"/>
        <w:right w:val="none" w:sz="0" w:space="0" w:color="auto"/>
      </w:divBdr>
    </w:div>
    <w:div w:id="1202664978">
      <w:bodyDiv w:val="1"/>
      <w:marLeft w:val="0"/>
      <w:marRight w:val="0"/>
      <w:marTop w:val="0"/>
      <w:marBottom w:val="0"/>
      <w:divBdr>
        <w:top w:val="none" w:sz="0" w:space="0" w:color="auto"/>
        <w:left w:val="none" w:sz="0" w:space="0" w:color="auto"/>
        <w:bottom w:val="none" w:sz="0" w:space="0" w:color="auto"/>
        <w:right w:val="none" w:sz="0" w:space="0" w:color="auto"/>
      </w:divBdr>
    </w:div>
    <w:div w:id="1210649759">
      <w:bodyDiv w:val="1"/>
      <w:marLeft w:val="0"/>
      <w:marRight w:val="0"/>
      <w:marTop w:val="0"/>
      <w:marBottom w:val="0"/>
      <w:divBdr>
        <w:top w:val="none" w:sz="0" w:space="0" w:color="auto"/>
        <w:left w:val="none" w:sz="0" w:space="0" w:color="auto"/>
        <w:bottom w:val="none" w:sz="0" w:space="0" w:color="auto"/>
        <w:right w:val="none" w:sz="0" w:space="0" w:color="auto"/>
      </w:divBdr>
    </w:div>
    <w:div w:id="1212383165">
      <w:bodyDiv w:val="1"/>
      <w:marLeft w:val="0"/>
      <w:marRight w:val="0"/>
      <w:marTop w:val="0"/>
      <w:marBottom w:val="0"/>
      <w:divBdr>
        <w:top w:val="none" w:sz="0" w:space="0" w:color="auto"/>
        <w:left w:val="none" w:sz="0" w:space="0" w:color="auto"/>
        <w:bottom w:val="none" w:sz="0" w:space="0" w:color="auto"/>
        <w:right w:val="none" w:sz="0" w:space="0" w:color="auto"/>
      </w:divBdr>
    </w:div>
    <w:div w:id="1216889588">
      <w:bodyDiv w:val="1"/>
      <w:marLeft w:val="0"/>
      <w:marRight w:val="0"/>
      <w:marTop w:val="0"/>
      <w:marBottom w:val="0"/>
      <w:divBdr>
        <w:top w:val="none" w:sz="0" w:space="0" w:color="auto"/>
        <w:left w:val="none" w:sz="0" w:space="0" w:color="auto"/>
        <w:bottom w:val="none" w:sz="0" w:space="0" w:color="auto"/>
        <w:right w:val="none" w:sz="0" w:space="0" w:color="auto"/>
      </w:divBdr>
    </w:div>
    <w:div w:id="1231774330">
      <w:bodyDiv w:val="1"/>
      <w:marLeft w:val="0"/>
      <w:marRight w:val="0"/>
      <w:marTop w:val="0"/>
      <w:marBottom w:val="0"/>
      <w:divBdr>
        <w:top w:val="none" w:sz="0" w:space="0" w:color="auto"/>
        <w:left w:val="none" w:sz="0" w:space="0" w:color="auto"/>
        <w:bottom w:val="none" w:sz="0" w:space="0" w:color="auto"/>
        <w:right w:val="none" w:sz="0" w:space="0" w:color="auto"/>
      </w:divBdr>
    </w:div>
    <w:div w:id="1234464252">
      <w:bodyDiv w:val="1"/>
      <w:marLeft w:val="0"/>
      <w:marRight w:val="0"/>
      <w:marTop w:val="0"/>
      <w:marBottom w:val="0"/>
      <w:divBdr>
        <w:top w:val="none" w:sz="0" w:space="0" w:color="auto"/>
        <w:left w:val="none" w:sz="0" w:space="0" w:color="auto"/>
        <w:bottom w:val="none" w:sz="0" w:space="0" w:color="auto"/>
        <w:right w:val="none" w:sz="0" w:space="0" w:color="auto"/>
      </w:divBdr>
    </w:div>
    <w:div w:id="1240214162">
      <w:bodyDiv w:val="1"/>
      <w:marLeft w:val="0"/>
      <w:marRight w:val="0"/>
      <w:marTop w:val="0"/>
      <w:marBottom w:val="0"/>
      <w:divBdr>
        <w:top w:val="none" w:sz="0" w:space="0" w:color="auto"/>
        <w:left w:val="none" w:sz="0" w:space="0" w:color="auto"/>
        <w:bottom w:val="none" w:sz="0" w:space="0" w:color="auto"/>
        <w:right w:val="none" w:sz="0" w:space="0" w:color="auto"/>
      </w:divBdr>
    </w:div>
    <w:div w:id="1275790897">
      <w:bodyDiv w:val="1"/>
      <w:marLeft w:val="0"/>
      <w:marRight w:val="0"/>
      <w:marTop w:val="0"/>
      <w:marBottom w:val="0"/>
      <w:divBdr>
        <w:top w:val="none" w:sz="0" w:space="0" w:color="auto"/>
        <w:left w:val="none" w:sz="0" w:space="0" w:color="auto"/>
        <w:bottom w:val="none" w:sz="0" w:space="0" w:color="auto"/>
        <w:right w:val="none" w:sz="0" w:space="0" w:color="auto"/>
      </w:divBdr>
    </w:div>
    <w:div w:id="1283418274">
      <w:bodyDiv w:val="1"/>
      <w:marLeft w:val="0"/>
      <w:marRight w:val="0"/>
      <w:marTop w:val="0"/>
      <w:marBottom w:val="0"/>
      <w:divBdr>
        <w:top w:val="none" w:sz="0" w:space="0" w:color="auto"/>
        <w:left w:val="none" w:sz="0" w:space="0" w:color="auto"/>
        <w:bottom w:val="none" w:sz="0" w:space="0" w:color="auto"/>
        <w:right w:val="none" w:sz="0" w:space="0" w:color="auto"/>
      </w:divBdr>
    </w:div>
    <w:div w:id="1296837242">
      <w:bodyDiv w:val="1"/>
      <w:marLeft w:val="0"/>
      <w:marRight w:val="0"/>
      <w:marTop w:val="0"/>
      <w:marBottom w:val="0"/>
      <w:divBdr>
        <w:top w:val="none" w:sz="0" w:space="0" w:color="auto"/>
        <w:left w:val="none" w:sz="0" w:space="0" w:color="auto"/>
        <w:bottom w:val="none" w:sz="0" w:space="0" w:color="auto"/>
        <w:right w:val="none" w:sz="0" w:space="0" w:color="auto"/>
      </w:divBdr>
    </w:div>
    <w:div w:id="1333608311">
      <w:bodyDiv w:val="1"/>
      <w:marLeft w:val="0"/>
      <w:marRight w:val="0"/>
      <w:marTop w:val="0"/>
      <w:marBottom w:val="0"/>
      <w:divBdr>
        <w:top w:val="none" w:sz="0" w:space="0" w:color="auto"/>
        <w:left w:val="none" w:sz="0" w:space="0" w:color="auto"/>
        <w:bottom w:val="none" w:sz="0" w:space="0" w:color="auto"/>
        <w:right w:val="none" w:sz="0" w:space="0" w:color="auto"/>
      </w:divBdr>
    </w:div>
    <w:div w:id="1338649541">
      <w:bodyDiv w:val="1"/>
      <w:marLeft w:val="0"/>
      <w:marRight w:val="0"/>
      <w:marTop w:val="0"/>
      <w:marBottom w:val="0"/>
      <w:divBdr>
        <w:top w:val="none" w:sz="0" w:space="0" w:color="auto"/>
        <w:left w:val="none" w:sz="0" w:space="0" w:color="auto"/>
        <w:bottom w:val="none" w:sz="0" w:space="0" w:color="auto"/>
        <w:right w:val="none" w:sz="0" w:space="0" w:color="auto"/>
      </w:divBdr>
    </w:div>
    <w:div w:id="1354308517">
      <w:bodyDiv w:val="1"/>
      <w:marLeft w:val="0"/>
      <w:marRight w:val="0"/>
      <w:marTop w:val="0"/>
      <w:marBottom w:val="0"/>
      <w:divBdr>
        <w:top w:val="none" w:sz="0" w:space="0" w:color="auto"/>
        <w:left w:val="none" w:sz="0" w:space="0" w:color="auto"/>
        <w:bottom w:val="none" w:sz="0" w:space="0" w:color="auto"/>
        <w:right w:val="none" w:sz="0" w:space="0" w:color="auto"/>
      </w:divBdr>
    </w:div>
    <w:div w:id="1355115123">
      <w:bodyDiv w:val="1"/>
      <w:marLeft w:val="0"/>
      <w:marRight w:val="0"/>
      <w:marTop w:val="0"/>
      <w:marBottom w:val="0"/>
      <w:divBdr>
        <w:top w:val="none" w:sz="0" w:space="0" w:color="auto"/>
        <w:left w:val="none" w:sz="0" w:space="0" w:color="auto"/>
        <w:bottom w:val="none" w:sz="0" w:space="0" w:color="auto"/>
        <w:right w:val="none" w:sz="0" w:space="0" w:color="auto"/>
      </w:divBdr>
    </w:div>
    <w:div w:id="1363751666">
      <w:bodyDiv w:val="1"/>
      <w:marLeft w:val="0"/>
      <w:marRight w:val="0"/>
      <w:marTop w:val="0"/>
      <w:marBottom w:val="0"/>
      <w:divBdr>
        <w:top w:val="none" w:sz="0" w:space="0" w:color="auto"/>
        <w:left w:val="none" w:sz="0" w:space="0" w:color="auto"/>
        <w:bottom w:val="none" w:sz="0" w:space="0" w:color="auto"/>
        <w:right w:val="none" w:sz="0" w:space="0" w:color="auto"/>
      </w:divBdr>
    </w:div>
    <w:div w:id="1373384221">
      <w:bodyDiv w:val="1"/>
      <w:marLeft w:val="0"/>
      <w:marRight w:val="0"/>
      <w:marTop w:val="0"/>
      <w:marBottom w:val="0"/>
      <w:divBdr>
        <w:top w:val="none" w:sz="0" w:space="0" w:color="auto"/>
        <w:left w:val="none" w:sz="0" w:space="0" w:color="auto"/>
        <w:bottom w:val="none" w:sz="0" w:space="0" w:color="auto"/>
        <w:right w:val="none" w:sz="0" w:space="0" w:color="auto"/>
      </w:divBdr>
    </w:div>
    <w:div w:id="1395851681">
      <w:bodyDiv w:val="1"/>
      <w:marLeft w:val="0"/>
      <w:marRight w:val="0"/>
      <w:marTop w:val="0"/>
      <w:marBottom w:val="0"/>
      <w:divBdr>
        <w:top w:val="none" w:sz="0" w:space="0" w:color="auto"/>
        <w:left w:val="none" w:sz="0" w:space="0" w:color="auto"/>
        <w:bottom w:val="none" w:sz="0" w:space="0" w:color="auto"/>
        <w:right w:val="none" w:sz="0" w:space="0" w:color="auto"/>
      </w:divBdr>
    </w:div>
    <w:div w:id="1408965405">
      <w:bodyDiv w:val="1"/>
      <w:marLeft w:val="0"/>
      <w:marRight w:val="0"/>
      <w:marTop w:val="0"/>
      <w:marBottom w:val="0"/>
      <w:divBdr>
        <w:top w:val="none" w:sz="0" w:space="0" w:color="auto"/>
        <w:left w:val="none" w:sz="0" w:space="0" w:color="auto"/>
        <w:bottom w:val="none" w:sz="0" w:space="0" w:color="auto"/>
        <w:right w:val="none" w:sz="0" w:space="0" w:color="auto"/>
      </w:divBdr>
    </w:div>
    <w:div w:id="1412921421">
      <w:bodyDiv w:val="1"/>
      <w:marLeft w:val="0"/>
      <w:marRight w:val="0"/>
      <w:marTop w:val="0"/>
      <w:marBottom w:val="0"/>
      <w:divBdr>
        <w:top w:val="none" w:sz="0" w:space="0" w:color="auto"/>
        <w:left w:val="none" w:sz="0" w:space="0" w:color="auto"/>
        <w:bottom w:val="none" w:sz="0" w:space="0" w:color="auto"/>
        <w:right w:val="none" w:sz="0" w:space="0" w:color="auto"/>
      </w:divBdr>
    </w:div>
    <w:div w:id="1425421511">
      <w:bodyDiv w:val="1"/>
      <w:marLeft w:val="0"/>
      <w:marRight w:val="0"/>
      <w:marTop w:val="0"/>
      <w:marBottom w:val="0"/>
      <w:divBdr>
        <w:top w:val="none" w:sz="0" w:space="0" w:color="auto"/>
        <w:left w:val="none" w:sz="0" w:space="0" w:color="auto"/>
        <w:bottom w:val="none" w:sz="0" w:space="0" w:color="auto"/>
        <w:right w:val="none" w:sz="0" w:space="0" w:color="auto"/>
      </w:divBdr>
    </w:div>
    <w:div w:id="1428621696">
      <w:bodyDiv w:val="1"/>
      <w:marLeft w:val="0"/>
      <w:marRight w:val="0"/>
      <w:marTop w:val="0"/>
      <w:marBottom w:val="0"/>
      <w:divBdr>
        <w:top w:val="none" w:sz="0" w:space="0" w:color="auto"/>
        <w:left w:val="none" w:sz="0" w:space="0" w:color="auto"/>
        <w:bottom w:val="none" w:sz="0" w:space="0" w:color="auto"/>
        <w:right w:val="none" w:sz="0" w:space="0" w:color="auto"/>
      </w:divBdr>
    </w:div>
    <w:div w:id="1438792481">
      <w:bodyDiv w:val="1"/>
      <w:marLeft w:val="0"/>
      <w:marRight w:val="0"/>
      <w:marTop w:val="0"/>
      <w:marBottom w:val="0"/>
      <w:divBdr>
        <w:top w:val="none" w:sz="0" w:space="0" w:color="auto"/>
        <w:left w:val="none" w:sz="0" w:space="0" w:color="auto"/>
        <w:bottom w:val="none" w:sz="0" w:space="0" w:color="auto"/>
        <w:right w:val="none" w:sz="0" w:space="0" w:color="auto"/>
      </w:divBdr>
    </w:div>
    <w:div w:id="1460029025">
      <w:bodyDiv w:val="1"/>
      <w:marLeft w:val="0"/>
      <w:marRight w:val="0"/>
      <w:marTop w:val="0"/>
      <w:marBottom w:val="0"/>
      <w:divBdr>
        <w:top w:val="none" w:sz="0" w:space="0" w:color="auto"/>
        <w:left w:val="none" w:sz="0" w:space="0" w:color="auto"/>
        <w:bottom w:val="none" w:sz="0" w:space="0" w:color="auto"/>
        <w:right w:val="none" w:sz="0" w:space="0" w:color="auto"/>
      </w:divBdr>
    </w:div>
    <w:div w:id="1498498786">
      <w:bodyDiv w:val="1"/>
      <w:marLeft w:val="0"/>
      <w:marRight w:val="0"/>
      <w:marTop w:val="0"/>
      <w:marBottom w:val="0"/>
      <w:divBdr>
        <w:top w:val="none" w:sz="0" w:space="0" w:color="auto"/>
        <w:left w:val="none" w:sz="0" w:space="0" w:color="auto"/>
        <w:bottom w:val="none" w:sz="0" w:space="0" w:color="auto"/>
        <w:right w:val="none" w:sz="0" w:space="0" w:color="auto"/>
      </w:divBdr>
    </w:div>
    <w:div w:id="1498956416">
      <w:bodyDiv w:val="1"/>
      <w:marLeft w:val="0"/>
      <w:marRight w:val="0"/>
      <w:marTop w:val="0"/>
      <w:marBottom w:val="0"/>
      <w:divBdr>
        <w:top w:val="none" w:sz="0" w:space="0" w:color="auto"/>
        <w:left w:val="none" w:sz="0" w:space="0" w:color="auto"/>
        <w:bottom w:val="none" w:sz="0" w:space="0" w:color="auto"/>
        <w:right w:val="none" w:sz="0" w:space="0" w:color="auto"/>
      </w:divBdr>
    </w:div>
    <w:div w:id="1523208676">
      <w:bodyDiv w:val="1"/>
      <w:marLeft w:val="0"/>
      <w:marRight w:val="0"/>
      <w:marTop w:val="0"/>
      <w:marBottom w:val="0"/>
      <w:divBdr>
        <w:top w:val="none" w:sz="0" w:space="0" w:color="auto"/>
        <w:left w:val="none" w:sz="0" w:space="0" w:color="auto"/>
        <w:bottom w:val="none" w:sz="0" w:space="0" w:color="auto"/>
        <w:right w:val="none" w:sz="0" w:space="0" w:color="auto"/>
      </w:divBdr>
    </w:div>
    <w:div w:id="1545822585">
      <w:bodyDiv w:val="1"/>
      <w:marLeft w:val="0"/>
      <w:marRight w:val="0"/>
      <w:marTop w:val="0"/>
      <w:marBottom w:val="0"/>
      <w:divBdr>
        <w:top w:val="none" w:sz="0" w:space="0" w:color="auto"/>
        <w:left w:val="none" w:sz="0" w:space="0" w:color="auto"/>
        <w:bottom w:val="none" w:sz="0" w:space="0" w:color="auto"/>
        <w:right w:val="none" w:sz="0" w:space="0" w:color="auto"/>
      </w:divBdr>
    </w:div>
    <w:div w:id="1575581902">
      <w:bodyDiv w:val="1"/>
      <w:marLeft w:val="0"/>
      <w:marRight w:val="0"/>
      <w:marTop w:val="0"/>
      <w:marBottom w:val="0"/>
      <w:divBdr>
        <w:top w:val="none" w:sz="0" w:space="0" w:color="auto"/>
        <w:left w:val="none" w:sz="0" w:space="0" w:color="auto"/>
        <w:bottom w:val="none" w:sz="0" w:space="0" w:color="auto"/>
        <w:right w:val="none" w:sz="0" w:space="0" w:color="auto"/>
      </w:divBdr>
    </w:div>
    <w:div w:id="1608612957">
      <w:bodyDiv w:val="1"/>
      <w:marLeft w:val="0"/>
      <w:marRight w:val="0"/>
      <w:marTop w:val="0"/>
      <w:marBottom w:val="0"/>
      <w:divBdr>
        <w:top w:val="none" w:sz="0" w:space="0" w:color="auto"/>
        <w:left w:val="none" w:sz="0" w:space="0" w:color="auto"/>
        <w:bottom w:val="none" w:sz="0" w:space="0" w:color="auto"/>
        <w:right w:val="none" w:sz="0" w:space="0" w:color="auto"/>
      </w:divBdr>
    </w:div>
    <w:div w:id="1613394865">
      <w:bodyDiv w:val="1"/>
      <w:marLeft w:val="0"/>
      <w:marRight w:val="0"/>
      <w:marTop w:val="0"/>
      <w:marBottom w:val="0"/>
      <w:divBdr>
        <w:top w:val="none" w:sz="0" w:space="0" w:color="auto"/>
        <w:left w:val="none" w:sz="0" w:space="0" w:color="auto"/>
        <w:bottom w:val="none" w:sz="0" w:space="0" w:color="auto"/>
        <w:right w:val="none" w:sz="0" w:space="0" w:color="auto"/>
      </w:divBdr>
    </w:div>
    <w:div w:id="1622877034">
      <w:bodyDiv w:val="1"/>
      <w:marLeft w:val="0"/>
      <w:marRight w:val="0"/>
      <w:marTop w:val="0"/>
      <w:marBottom w:val="0"/>
      <w:divBdr>
        <w:top w:val="none" w:sz="0" w:space="0" w:color="auto"/>
        <w:left w:val="none" w:sz="0" w:space="0" w:color="auto"/>
        <w:bottom w:val="none" w:sz="0" w:space="0" w:color="auto"/>
        <w:right w:val="none" w:sz="0" w:space="0" w:color="auto"/>
      </w:divBdr>
    </w:div>
    <w:div w:id="1630629712">
      <w:bodyDiv w:val="1"/>
      <w:marLeft w:val="0"/>
      <w:marRight w:val="0"/>
      <w:marTop w:val="0"/>
      <w:marBottom w:val="0"/>
      <w:divBdr>
        <w:top w:val="none" w:sz="0" w:space="0" w:color="auto"/>
        <w:left w:val="none" w:sz="0" w:space="0" w:color="auto"/>
        <w:bottom w:val="none" w:sz="0" w:space="0" w:color="auto"/>
        <w:right w:val="none" w:sz="0" w:space="0" w:color="auto"/>
      </w:divBdr>
    </w:div>
    <w:div w:id="1636138628">
      <w:bodyDiv w:val="1"/>
      <w:marLeft w:val="0"/>
      <w:marRight w:val="0"/>
      <w:marTop w:val="0"/>
      <w:marBottom w:val="0"/>
      <w:divBdr>
        <w:top w:val="none" w:sz="0" w:space="0" w:color="auto"/>
        <w:left w:val="none" w:sz="0" w:space="0" w:color="auto"/>
        <w:bottom w:val="none" w:sz="0" w:space="0" w:color="auto"/>
        <w:right w:val="none" w:sz="0" w:space="0" w:color="auto"/>
      </w:divBdr>
    </w:div>
    <w:div w:id="1651403841">
      <w:bodyDiv w:val="1"/>
      <w:marLeft w:val="0"/>
      <w:marRight w:val="0"/>
      <w:marTop w:val="0"/>
      <w:marBottom w:val="0"/>
      <w:divBdr>
        <w:top w:val="none" w:sz="0" w:space="0" w:color="auto"/>
        <w:left w:val="none" w:sz="0" w:space="0" w:color="auto"/>
        <w:bottom w:val="none" w:sz="0" w:space="0" w:color="auto"/>
        <w:right w:val="none" w:sz="0" w:space="0" w:color="auto"/>
      </w:divBdr>
    </w:div>
    <w:div w:id="1666587327">
      <w:bodyDiv w:val="1"/>
      <w:marLeft w:val="0"/>
      <w:marRight w:val="0"/>
      <w:marTop w:val="0"/>
      <w:marBottom w:val="0"/>
      <w:divBdr>
        <w:top w:val="none" w:sz="0" w:space="0" w:color="auto"/>
        <w:left w:val="none" w:sz="0" w:space="0" w:color="auto"/>
        <w:bottom w:val="none" w:sz="0" w:space="0" w:color="auto"/>
        <w:right w:val="none" w:sz="0" w:space="0" w:color="auto"/>
      </w:divBdr>
    </w:div>
    <w:div w:id="1676230570">
      <w:bodyDiv w:val="1"/>
      <w:marLeft w:val="0"/>
      <w:marRight w:val="0"/>
      <w:marTop w:val="0"/>
      <w:marBottom w:val="0"/>
      <w:divBdr>
        <w:top w:val="none" w:sz="0" w:space="0" w:color="auto"/>
        <w:left w:val="none" w:sz="0" w:space="0" w:color="auto"/>
        <w:bottom w:val="none" w:sz="0" w:space="0" w:color="auto"/>
        <w:right w:val="none" w:sz="0" w:space="0" w:color="auto"/>
      </w:divBdr>
    </w:div>
    <w:div w:id="1697465417">
      <w:bodyDiv w:val="1"/>
      <w:marLeft w:val="0"/>
      <w:marRight w:val="0"/>
      <w:marTop w:val="0"/>
      <w:marBottom w:val="0"/>
      <w:divBdr>
        <w:top w:val="none" w:sz="0" w:space="0" w:color="auto"/>
        <w:left w:val="none" w:sz="0" w:space="0" w:color="auto"/>
        <w:bottom w:val="none" w:sz="0" w:space="0" w:color="auto"/>
        <w:right w:val="none" w:sz="0" w:space="0" w:color="auto"/>
      </w:divBdr>
    </w:div>
    <w:div w:id="1698850160">
      <w:bodyDiv w:val="1"/>
      <w:marLeft w:val="0"/>
      <w:marRight w:val="0"/>
      <w:marTop w:val="0"/>
      <w:marBottom w:val="0"/>
      <w:divBdr>
        <w:top w:val="none" w:sz="0" w:space="0" w:color="auto"/>
        <w:left w:val="none" w:sz="0" w:space="0" w:color="auto"/>
        <w:bottom w:val="none" w:sz="0" w:space="0" w:color="auto"/>
        <w:right w:val="none" w:sz="0" w:space="0" w:color="auto"/>
      </w:divBdr>
    </w:div>
    <w:div w:id="1716000214">
      <w:bodyDiv w:val="1"/>
      <w:marLeft w:val="0"/>
      <w:marRight w:val="0"/>
      <w:marTop w:val="0"/>
      <w:marBottom w:val="0"/>
      <w:divBdr>
        <w:top w:val="none" w:sz="0" w:space="0" w:color="auto"/>
        <w:left w:val="none" w:sz="0" w:space="0" w:color="auto"/>
        <w:bottom w:val="none" w:sz="0" w:space="0" w:color="auto"/>
        <w:right w:val="none" w:sz="0" w:space="0" w:color="auto"/>
      </w:divBdr>
    </w:div>
    <w:div w:id="1731147577">
      <w:bodyDiv w:val="1"/>
      <w:marLeft w:val="0"/>
      <w:marRight w:val="0"/>
      <w:marTop w:val="0"/>
      <w:marBottom w:val="0"/>
      <w:divBdr>
        <w:top w:val="none" w:sz="0" w:space="0" w:color="auto"/>
        <w:left w:val="none" w:sz="0" w:space="0" w:color="auto"/>
        <w:bottom w:val="none" w:sz="0" w:space="0" w:color="auto"/>
        <w:right w:val="none" w:sz="0" w:space="0" w:color="auto"/>
      </w:divBdr>
    </w:div>
    <w:div w:id="1733692815">
      <w:bodyDiv w:val="1"/>
      <w:marLeft w:val="0"/>
      <w:marRight w:val="0"/>
      <w:marTop w:val="0"/>
      <w:marBottom w:val="0"/>
      <w:divBdr>
        <w:top w:val="none" w:sz="0" w:space="0" w:color="auto"/>
        <w:left w:val="none" w:sz="0" w:space="0" w:color="auto"/>
        <w:bottom w:val="none" w:sz="0" w:space="0" w:color="auto"/>
        <w:right w:val="none" w:sz="0" w:space="0" w:color="auto"/>
      </w:divBdr>
    </w:div>
    <w:div w:id="1736971946">
      <w:bodyDiv w:val="1"/>
      <w:marLeft w:val="0"/>
      <w:marRight w:val="0"/>
      <w:marTop w:val="0"/>
      <w:marBottom w:val="0"/>
      <w:divBdr>
        <w:top w:val="none" w:sz="0" w:space="0" w:color="auto"/>
        <w:left w:val="none" w:sz="0" w:space="0" w:color="auto"/>
        <w:bottom w:val="none" w:sz="0" w:space="0" w:color="auto"/>
        <w:right w:val="none" w:sz="0" w:space="0" w:color="auto"/>
      </w:divBdr>
    </w:div>
    <w:div w:id="1740706977">
      <w:bodyDiv w:val="1"/>
      <w:marLeft w:val="0"/>
      <w:marRight w:val="0"/>
      <w:marTop w:val="0"/>
      <w:marBottom w:val="0"/>
      <w:divBdr>
        <w:top w:val="none" w:sz="0" w:space="0" w:color="auto"/>
        <w:left w:val="none" w:sz="0" w:space="0" w:color="auto"/>
        <w:bottom w:val="none" w:sz="0" w:space="0" w:color="auto"/>
        <w:right w:val="none" w:sz="0" w:space="0" w:color="auto"/>
      </w:divBdr>
    </w:div>
    <w:div w:id="1802460921">
      <w:bodyDiv w:val="1"/>
      <w:marLeft w:val="0"/>
      <w:marRight w:val="0"/>
      <w:marTop w:val="0"/>
      <w:marBottom w:val="0"/>
      <w:divBdr>
        <w:top w:val="none" w:sz="0" w:space="0" w:color="auto"/>
        <w:left w:val="none" w:sz="0" w:space="0" w:color="auto"/>
        <w:bottom w:val="none" w:sz="0" w:space="0" w:color="auto"/>
        <w:right w:val="none" w:sz="0" w:space="0" w:color="auto"/>
      </w:divBdr>
    </w:div>
    <w:div w:id="1871919914">
      <w:bodyDiv w:val="1"/>
      <w:marLeft w:val="0"/>
      <w:marRight w:val="0"/>
      <w:marTop w:val="0"/>
      <w:marBottom w:val="0"/>
      <w:divBdr>
        <w:top w:val="none" w:sz="0" w:space="0" w:color="auto"/>
        <w:left w:val="none" w:sz="0" w:space="0" w:color="auto"/>
        <w:bottom w:val="none" w:sz="0" w:space="0" w:color="auto"/>
        <w:right w:val="none" w:sz="0" w:space="0" w:color="auto"/>
      </w:divBdr>
    </w:div>
    <w:div w:id="1883591298">
      <w:bodyDiv w:val="1"/>
      <w:marLeft w:val="0"/>
      <w:marRight w:val="0"/>
      <w:marTop w:val="0"/>
      <w:marBottom w:val="0"/>
      <w:divBdr>
        <w:top w:val="none" w:sz="0" w:space="0" w:color="auto"/>
        <w:left w:val="none" w:sz="0" w:space="0" w:color="auto"/>
        <w:bottom w:val="none" w:sz="0" w:space="0" w:color="auto"/>
        <w:right w:val="none" w:sz="0" w:space="0" w:color="auto"/>
      </w:divBdr>
    </w:div>
    <w:div w:id="1885944511">
      <w:bodyDiv w:val="1"/>
      <w:marLeft w:val="0"/>
      <w:marRight w:val="0"/>
      <w:marTop w:val="0"/>
      <w:marBottom w:val="0"/>
      <w:divBdr>
        <w:top w:val="none" w:sz="0" w:space="0" w:color="auto"/>
        <w:left w:val="none" w:sz="0" w:space="0" w:color="auto"/>
        <w:bottom w:val="none" w:sz="0" w:space="0" w:color="auto"/>
        <w:right w:val="none" w:sz="0" w:space="0" w:color="auto"/>
      </w:divBdr>
    </w:div>
    <w:div w:id="1888254290">
      <w:bodyDiv w:val="1"/>
      <w:marLeft w:val="0"/>
      <w:marRight w:val="0"/>
      <w:marTop w:val="0"/>
      <w:marBottom w:val="0"/>
      <w:divBdr>
        <w:top w:val="none" w:sz="0" w:space="0" w:color="auto"/>
        <w:left w:val="none" w:sz="0" w:space="0" w:color="auto"/>
        <w:bottom w:val="none" w:sz="0" w:space="0" w:color="auto"/>
        <w:right w:val="none" w:sz="0" w:space="0" w:color="auto"/>
      </w:divBdr>
    </w:div>
    <w:div w:id="1963801494">
      <w:bodyDiv w:val="1"/>
      <w:marLeft w:val="0"/>
      <w:marRight w:val="0"/>
      <w:marTop w:val="0"/>
      <w:marBottom w:val="0"/>
      <w:divBdr>
        <w:top w:val="none" w:sz="0" w:space="0" w:color="auto"/>
        <w:left w:val="none" w:sz="0" w:space="0" w:color="auto"/>
        <w:bottom w:val="none" w:sz="0" w:space="0" w:color="auto"/>
        <w:right w:val="none" w:sz="0" w:space="0" w:color="auto"/>
      </w:divBdr>
    </w:div>
    <w:div w:id="1984694456">
      <w:bodyDiv w:val="1"/>
      <w:marLeft w:val="0"/>
      <w:marRight w:val="0"/>
      <w:marTop w:val="0"/>
      <w:marBottom w:val="0"/>
      <w:divBdr>
        <w:top w:val="none" w:sz="0" w:space="0" w:color="auto"/>
        <w:left w:val="none" w:sz="0" w:space="0" w:color="auto"/>
        <w:bottom w:val="none" w:sz="0" w:space="0" w:color="auto"/>
        <w:right w:val="none" w:sz="0" w:space="0" w:color="auto"/>
      </w:divBdr>
    </w:div>
    <w:div w:id="1991984360">
      <w:bodyDiv w:val="1"/>
      <w:marLeft w:val="0"/>
      <w:marRight w:val="0"/>
      <w:marTop w:val="0"/>
      <w:marBottom w:val="0"/>
      <w:divBdr>
        <w:top w:val="none" w:sz="0" w:space="0" w:color="auto"/>
        <w:left w:val="none" w:sz="0" w:space="0" w:color="auto"/>
        <w:bottom w:val="none" w:sz="0" w:space="0" w:color="auto"/>
        <w:right w:val="none" w:sz="0" w:space="0" w:color="auto"/>
      </w:divBdr>
    </w:div>
    <w:div w:id="1994798012">
      <w:bodyDiv w:val="1"/>
      <w:marLeft w:val="0"/>
      <w:marRight w:val="0"/>
      <w:marTop w:val="0"/>
      <w:marBottom w:val="0"/>
      <w:divBdr>
        <w:top w:val="none" w:sz="0" w:space="0" w:color="auto"/>
        <w:left w:val="none" w:sz="0" w:space="0" w:color="auto"/>
        <w:bottom w:val="none" w:sz="0" w:space="0" w:color="auto"/>
        <w:right w:val="none" w:sz="0" w:space="0" w:color="auto"/>
      </w:divBdr>
    </w:div>
    <w:div w:id="1997878057">
      <w:bodyDiv w:val="1"/>
      <w:marLeft w:val="0"/>
      <w:marRight w:val="0"/>
      <w:marTop w:val="0"/>
      <w:marBottom w:val="0"/>
      <w:divBdr>
        <w:top w:val="none" w:sz="0" w:space="0" w:color="auto"/>
        <w:left w:val="none" w:sz="0" w:space="0" w:color="auto"/>
        <w:bottom w:val="none" w:sz="0" w:space="0" w:color="auto"/>
        <w:right w:val="none" w:sz="0" w:space="0" w:color="auto"/>
      </w:divBdr>
    </w:div>
    <w:div w:id="1998611736">
      <w:bodyDiv w:val="1"/>
      <w:marLeft w:val="0"/>
      <w:marRight w:val="0"/>
      <w:marTop w:val="0"/>
      <w:marBottom w:val="0"/>
      <w:divBdr>
        <w:top w:val="none" w:sz="0" w:space="0" w:color="auto"/>
        <w:left w:val="none" w:sz="0" w:space="0" w:color="auto"/>
        <w:bottom w:val="none" w:sz="0" w:space="0" w:color="auto"/>
        <w:right w:val="none" w:sz="0" w:space="0" w:color="auto"/>
      </w:divBdr>
    </w:div>
    <w:div w:id="2015447598">
      <w:bodyDiv w:val="1"/>
      <w:marLeft w:val="0"/>
      <w:marRight w:val="0"/>
      <w:marTop w:val="0"/>
      <w:marBottom w:val="0"/>
      <w:divBdr>
        <w:top w:val="none" w:sz="0" w:space="0" w:color="auto"/>
        <w:left w:val="none" w:sz="0" w:space="0" w:color="auto"/>
        <w:bottom w:val="none" w:sz="0" w:space="0" w:color="auto"/>
        <w:right w:val="none" w:sz="0" w:space="0" w:color="auto"/>
      </w:divBdr>
    </w:div>
    <w:div w:id="2017612879">
      <w:bodyDiv w:val="1"/>
      <w:marLeft w:val="0"/>
      <w:marRight w:val="0"/>
      <w:marTop w:val="0"/>
      <w:marBottom w:val="0"/>
      <w:divBdr>
        <w:top w:val="none" w:sz="0" w:space="0" w:color="auto"/>
        <w:left w:val="none" w:sz="0" w:space="0" w:color="auto"/>
        <w:bottom w:val="none" w:sz="0" w:space="0" w:color="auto"/>
        <w:right w:val="none" w:sz="0" w:space="0" w:color="auto"/>
      </w:divBdr>
    </w:div>
    <w:div w:id="2032414103">
      <w:bodyDiv w:val="1"/>
      <w:marLeft w:val="0"/>
      <w:marRight w:val="0"/>
      <w:marTop w:val="0"/>
      <w:marBottom w:val="0"/>
      <w:divBdr>
        <w:top w:val="none" w:sz="0" w:space="0" w:color="auto"/>
        <w:left w:val="none" w:sz="0" w:space="0" w:color="auto"/>
        <w:bottom w:val="none" w:sz="0" w:space="0" w:color="auto"/>
        <w:right w:val="none" w:sz="0" w:space="0" w:color="auto"/>
      </w:divBdr>
    </w:div>
    <w:div w:id="2038920219">
      <w:bodyDiv w:val="1"/>
      <w:marLeft w:val="0"/>
      <w:marRight w:val="0"/>
      <w:marTop w:val="0"/>
      <w:marBottom w:val="0"/>
      <w:divBdr>
        <w:top w:val="none" w:sz="0" w:space="0" w:color="auto"/>
        <w:left w:val="none" w:sz="0" w:space="0" w:color="auto"/>
        <w:bottom w:val="none" w:sz="0" w:space="0" w:color="auto"/>
        <w:right w:val="none" w:sz="0" w:space="0" w:color="auto"/>
      </w:divBdr>
    </w:div>
    <w:div w:id="2042313716">
      <w:bodyDiv w:val="1"/>
      <w:marLeft w:val="0"/>
      <w:marRight w:val="0"/>
      <w:marTop w:val="0"/>
      <w:marBottom w:val="0"/>
      <w:divBdr>
        <w:top w:val="none" w:sz="0" w:space="0" w:color="auto"/>
        <w:left w:val="none" w:sz="0" w:space="0" w:color="auto"/>
        <w:bottom w:val="none" w:sz="0" w:space="0" w:color="auto"/>
        <w:right w:val="none" w:sz="0" w:space="0" w:color="auto"/>
      </w:divBdr>
    </w:div>
    <w:div w:id="2052877255">
      <w:bodyDiv w:val="1"/>
      <w:marLeft w:val="0"/>
      <w:marRight w:val="0"/>
      <w:marTop w:val="0"/>
      <w:marBottom w:val="0"/>
      <w:divBdr>
        <w:top w:val="none" w:sz="0" w:space="0" w:color="auto"/>
        <w:left w:val="none" w:sz="0" w:space="0" w:color="auto"/>
        <w:bottom w:val="none" w:sz="0" w:space="0" w:color="auto"/>
        <w:right w:val="none" w:sz="0" w:space="0" w:color="auto"/>
      </w:divBdr>
    </w:div>
    <w:div w:id="2069306631">
      <w:bodyDiv w:val="1"/>
      <w:marLeft w:val="0"/>
      <w:marRight w:val="0"/>
      <w:marTop w:val="0"/>
      <w:marBottom w:val="0"/>
      <w:divBdr>
        <w:top w:val="none" w:sz="0" w:space="0" w:color="auto"/>
        <w:left w:val="none" w:sz="0" w:space="0" w:color="auto"/>
        <w:bottom w:val="none" w:sz="0" w:space="0" w:color="auto"/>
        <w:right w:val="none" w:sz="0" w:space="0" w:color="auto"/>
      </w:divBdr>
    </w:div>
    <w:div w:id="2086415263">
      <w:bodyDiv w:val="1"/>
      <w:marLeft w:val="0"/>
      <w:marRight w:val="0"/>
      <w:marTop w:val="0"/>
      <w:marBottom w:val="0"/>
      <w:divBdr>
        <w:top w:val="none" w:sz="0" w:space="0" w:color="auto"/>
        <w:left w:val="none" w:sz="0" w:space="0" w:color="auto"/>
        <w:bottom w:val="none" w:sz="0" w:space="0" w:color="auto"/>
        <w:right w:val="none" w:sz="0" w:space="0" w:color="auto"/>
      </w:divBdr>
    </w:div>
    <w:div w:id="2097511491">
      <w:bodyDiv w:val="1"/>
      <w:marLeft w:val="0"/>
      <w:marRight w:val="0"/>
      <w:marTop w:val="0"/>
      <w:marBottom w:val="0"/>
      <w:divBdr>
        <w:top w:val="none" w:sz="0" w:space="0" w:color="auto"/>
        <w:left w:val="none" w:sz="0" w:space="0" w:color="auto"/>
        <w:bottom w:val="none" w:sz="0" w:space="0" w:color="auto"/>
        <w:right w:val="none" w:sz="0" w:space="0" w:color="auto"/>
      </w:divBdr>
    </w:div>
    <w:div w:id="2103262597">
      <w:bodyDiv w:val="1"/>
      <w:marLeft w:val="0"/>
      <w:marRight w:val="0"/>
      <w:marTop w:val="0"/>
      <w:marBottom w:val="0"/>
      <w:divBdr>
        <w:top w:val="none" w:sz="0" w:space="0" w:color="auto"/>
        <w:left w:val="none" w:sz="0" w:space="0" w:color="auto"/>
        <w:bottom w:val="none" w:sz="0" w:space="0" w:color="auto"/>
        <w:right w:val="none" w:sz="0" w:space="0" w:color="auto"/>
      </w:divBdr>
    </w:div>
    <w:div w:id="2130463650">
      <w:bodyDiv w:val="1"/>
      <w:marLeft w:val="0"/>
      <w:marRight w:val="0"/>
      <w:marTop w:val="0"/>
      <w:marBottom w:val="0"/>
      <w:divBdr>
        <w:top w:val="none" w:sz="0" w:space="0" w:color="auto"/>
        <w:left w:val="none" w:sz="0" w:space="0" w:color="auto"/>
        <w:bottom w:val="none" w:sz="0" w:space="0" w:color="auto"/>
        <w:right w:val="none" w:sz="0" w:space="0" w:color="auto"/>
      </w:divBdr>
    </w:div>
    <w:div w:id="214245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hart" Target="charts/chart15.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chart" Target="charts/chart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eader" Target="header1.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atyana\Desktop\&#1053;&#1086;&#1074;&#1072;&#1103;%20&#1087;&#1072;&#1087;&#1082;&#1072;\&#1082;&#1086;&#1084;&#1084;%20&#1085;&#1077;&#1076;&#1074;\&#1050;&#1086;&#1084;&#1084;&#1077;&#1088;&#1095;&#1077;&#1089;&#1082;&#1072;&#1103;%20&#1085;&#1077;&#1076;&#1074;&#1080;&#1078;&#1080;&#1084;&#1086;&#1089;&#1090;&#1100;.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VaL\Desktop\&#1053;&#1086;&#1074;&#1072;&#1103;%20&#1087;&#1072;&#1087;&#1082;&#1072;\Exel\&#1050;&#1086;&#1084;&#1084;&#1077;&#1088;&#1095;&#1077;&#1089;&#1082;&#1072;&#1103;%20&#1085;&#1077;&#1076;&#1074;&#1080;&#1078;&#1080;&#1084;&#1086;&#1089;&#1090;&#110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391402838130715"/>
          <c:y val="0.92063492063492069"/>
        </c:manualLayout>
      </c:layout>
    </c:title>
    <c:view3D>
      <c:perspective val="0"/>
    </c:view3D>
    <c:plotArea>
      <c:layout>
        <c:manualLayout>
          <c:layoutTarget val="inner"/>
          <c:xMode val="edge"/>
          <c:yMode val="edge"/>
          <c:x val="0.14328358208955225"/>
          <c:y val="0.30158847031743008"/>
          <c:w val="0.71641791044776049"/>
          <c:h val="0.37698558789678438"/>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Lbls>
            <c:dLbl>
              <c:idx val="0"/>
              <c:layout>
                <c:manualLayout>
                  <c:x val="-1.6597510373443983E-2"/>
                  <c:y val="0.11757155355580552"/>
                </c:manualLayout>
              </c:layout>
              <c:dLblPos val="bestFit"/>
              <c:showCatName val="1"/>
              <c:showPercent val="1"/>
            </c:dLbl>
            <c:dLbl>
              <c:idx val="1"/>
              <c:layout>
                <c:manualLayout>
                  <c:x val="1.7702268544232801E-2"/>
                  <c:y val="-0.10714993959088441"/>
                </c:manualLayout>
              </c:layout>
              <c:dLblPos val="bestFit"/>
              <c:showCatName val="1"/>
              <c:showPercent val="1"/>
            </c:dLbl>
            <c:numFmt formatCode="0%" sourceLinked="0"/>
            <c:spPr>
              <a:noFill/>
              <a:ln w="25400">
                <a:noFill/>
              </a:ln>
            </c:spPr>
            <c:txPr>
              <a:bodyPr/>
              <a:lstStyle/>
              <a:p>
                <a:pPr>
                  <a:defRPr sz="950"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СВОДНЫЙ'!$A$153:$A$154</c:f>
              <c:strCache>
                <c:ptCount val="2"/>
                <c:pt idx="0">
                  <c:v>продажа</c:v>
                </c:pt>
                <c:pt idx="1">
                  <c:v>аренда</c:v>
                </c:pt>
              </c:strCache>
            </c:strRef>
          </c:cat>
          <c:val>
            <c:numRef>
              <c:f>'Анализ рынка СВОДНЫЙ'!$DU$153:$DU$154</c:f>
              <c:numCache>
                <c:formatCode>#,##0</c:formatCode>
                <c:ptCount val="2"/>
                <c:pt idx="0">
                  <c:v>53</c:v>
                </c:pt>
                <c:pt idx="1">
                  <c:v>51</c:v>
                </c:pt>
              </c:numCache>
            </c:numRef>
          </c:val>
        </c:ser>
        <c:dLbls>
          <c:showCatName val="1"/>
          <c:showPercent val="1"/>
        </c:dLbls>
      </c:pie3DChart>
      <c:spPr>
        <a:noFill/>
        <a:ln w="25400">
          <a:noFill/>
        </a:ln>
      </c:spPr>
    </c:plotArea>
    <c:plotVisOnly val="1"/>
    <c:dispBlanksAs val="zero"/>
  </c:chart>
  <c:spPr>
    <a:solidFill>
      <a:srgbClr val="EEECE1"/>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p>
        </c:rich>
      </c:tx>
      <c:layout>
        <c:manualLayout>
          <c:xMode val="edge"/>
          <c:yMode val="edge"/>
          <c:x val="0.62497903529694065"/>
          <c:y val="0.91367861885790169"/>
        </c:manualLayout>
      </c:layout>
    </c:title>
    <c:view3D>
      <c:perspective val="0"/>
    </c:view3D>
    <c:plotArea>
      <c:layout>
        <c:manualLayout>
          <c:layoutTarget val="inner"/>
          <c:xMode val="edge"/>
          <c:yMode val="edge"/>
          <c:x val="0.12462006079027454"/>
          <c:y val="0.31075697211155745"/>
          <c:w val="0.75379939209726465"/>
          <c:h val="0.39043824701195584"/>
        </c:manualLayout>
      </c:layout>
      <c:pie3DChart>
        <c:varyColors val="1"/>
        <c:ser>
          <c:idx val="0"/>
          <c:order val="0"/>
          <c:spPr>
            <a:solidFill>
              <a:srgbClr val="9999FF"/>
            </a:solidFill>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FF9900"/>
              </a:solidFill>
              <a:ln w="12700">
                <a:solidFill>
                  <a:srgbClr val="000000"/>
                </a:solidFill>
                <a:prstDash val="solid"/>
              </a:ln>
            </c:spPr>
          </c:dPt>
          <c:dLbls>
            <c:dLbl>
              <c:idx val="0"/>
              <c:layout>
                <c:manualLayout>
                  <c:x val="-1.8465492643295181E-2"/>
                  <c:y val="-0.19932657820162811"/>
                </c:manualLayout>
              </c:layout>
              <c:dLblPos val="bestFit"/>
              <c:showCatName val="1"/>
              <c:showPercent val="1"/>
            </c:dLbl>
            <c:dLbl>
              <c:idx val="1"/>
              <c:layout>
                <c:manualLayout>
                  <c:x val="0.12591934306966968"/>
                  <c:y val="6.4274137047610119E-2"/>
                </c:manualLayout>
              </c:layout>
              <c:dLblPos val="bestFit"/>
              <c:showCatName val="1"/>
              <c:showPercent val="1"/>
            </c:dLbl>
            <c:dLbl>
              <c:idx val="2"/>
              <c:layout>
                <c:manualLayout>
                  <c:x val="7.9297764128032598E-3"/>
                  <c:y val="-5.3793435183152022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СВОДНЫЙ'!$A$87:$A$90</c:f>
              <c:strCache>
                <c:ptCount val="4"/>
                <c:pt idx="0">
                  <c:v>Юго-запад</c:v>
                </c:pt>
                <c:pt idx="1">
                  <c:v>Северо-запад</c:v>
                </c:pt>
                <c:pt idx="2">
                  <c:v>Центр</c:v>
                </c:pt>
                <c:pt idx="3">
                  <c:v>Другие</c:v>
                </c:pt>
              </c:strCache>
            </c:strRef>
          </c:cat>
          <c:val>
            <c:numRef>
              <c:f>'Анализ рынка СВОДНЫЙ'!$DU$87:$DU$90</c:f>
              <c:numCache>
                <c:formatCode>#,##0</c:formatCode>
                <c:ptCount val="4"/>
                <c:pt idx="0">
                  <c:v>20</c:v>
                </c:pt>
                <c:pt idx="1">
                  <c:v>10</c:v>
                </c:pt>
                <c:pt idx="2">
                  <c:v>15</c:v>
                </c:pt>
                <c:pt idx="3">
                  <c:v>6</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u="none" strike="noStrike" baseline="0">
                <a:solidFill>
                  <a:schemeClr val="tx2">
                    <a:lumMod val="75000"/>
                  </a:schemeClr>
                </a:solidFill>
                <a:latin typeface="Times New Roman" pitchFamily="18" charset="0"/>
                <a:ea typeface="Arial Cyr"/>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51599597380424533"/>
          <c:y val="0.92607526881720426"/>
        </c:manualLayout>
      </c:layout>
      <c:spPr>
        <a:noFill/>
        <a:ln w="25400">
          <a:noFill/>
        </a:ln>
      </c:spPr>
    </c:title>
    <c:view3D>
      <c:rotX val="31"/>
      <c:hPercent val="71"/>
      <c:rotY val="44"/>
      <c:depthPercent val="100"/>
      <c:rAngAx val="1"/>
    </c:view3D>
    <c:floor>
      <c:spPr>
        <a:solidFill>
          <a:srgbClr val="C0C0C0"/>
        </a:solidFill>
        <a:ln w="3175">
          <a:solidFill>
            <a:srgbClr val="000000"/>
          </a:solidFill>
          <a:prstDash val="solid"/>
        </a:ln>
      </c:spPr>
    </c:floor>
    <c:sideWall>
      <c:spPr>
        <a:solidFill>
          <a:srgbClr val="99CCFF"/>
        </a:solidFill>
        <a:ln w="12700">
          <a:solidFill>
            <a:srgbClr val="808080"/>
          </a:solidFill>
          <a:prstDash val="solid"/>
        </a:ln>
      </c:spPr>
    </c:sideWall>
    <c:backWall>
      <c:spPr>
        <a:solidFill>
          <a:srgbClr val="99CCFF"/>
        </a:solidFill>
        <a:ln w="12700">
          <a:solidFill>
            <a:srgbClr val="808080"/>
          </a:solidFill>
          <a:prstDash val="solid"/>
        </a:ln>
      </c:spPr>
    </c:backWall>
    <c:plotArea>
      <c:layout>
        <c:manualLayout>
          <c:layoutTarget val="inner"/>
          <c:xMode val="edge"/>
          <c:yMode val="edge"/>
          <c:x val="6.0344996927187124E-2"/>
          <c:y val="1.6129032258064523E-2"/>
          <c:w val="0.92816352416578041"/>
          <c:h val="0.84811827956990005"/>
        </c:manualLayout>
      </c:layout>
      <c:bar3DChart>
        <c:barDir val="col"/>
        <c:grouping val="clustered"/>
        <c:ser>
          <c:idx val="0"/>
          <c:order val="0"/>
          <c:spPr>
            <a:solidFill>
              <a:srgbClr val="FFCC99"/>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3300"/>
              </a:solidFill>
              <a:ln w="12700">
                <a:solidFill>
                  <a:srgbClr val="000000"/>
                </a:solidFill>
                <a:prstDash val="solid"/>
              </a:ln>
            </c:spPr>
          </c:dPt>
          <c:dLbls>
            <c:dLbl>
              <c:idx val="0"/>
              <c:layout>
                <c:manualLayout>
                  <c:x val="4.3389253313120692E-2"/>
                  <c:y val="-5.2653262254926524E-2"/>
                </c:manualLayout>
              </c:layout>
              <c:showVal val="1"/>
            </c:dLbl>
            <c:dLbl>
              <c:idx val="1"/>
              <c:layout>
                <c:manualLayout>
                  <c:x val="3.0902721417780932E-2"/>
                  <c:y val="-6.9975475407670629E-2"/>
                </c:manualLayout>
              </c:layout>
              <c:showVal val="1"/>
            </c:dLbl>
            <c:dLbl>
              <c:idx val="2"/>
              <c:layout>
                <c:manualLayout>
                  <c:x val="4.1405061059467223E-2"/>
                  <c:y val="-1.9260812371969523E-2"/>
                </c:manualLayout>
              </c:layout>
              <c:showVal val="1"/>
            </c:dLbl>
            <c:dLbl>
              <c:idx val="3"/>
              <c:layout>
                <c:manualLayout>
                  <c:x val="5.1907400701153614E-2"/>
                  <c:y val="-6.0757548534452262E-2"/>
                </c:manualLayout>
              </c:layout>
              <c:showVal val="1"/>
            </c:dLbl>
            <c:spPr>
              <a:noFill/>
              <a:ln w="25400">
                <a:noFill/>
              </a:ln>
            </c:spPr>
            <c:txPr>
              <a:bodyPr/>
              <a:lstStyle/>
              <a:p>
                <a:pPr>
                  <a:defRPr sz="950" b="1" i="0" u="none" strike="noStrike" baseline="0">
                    <a:solidFill>
                      <a:srgbClr val="000000"/>
                    </a:solidFill>
                    <a:latin typeface="Times New Roman"/>
                    <a:ea typeface="Times New Roman"/>
                    <a:cs typeface="Times New Roman"/>
                  </a:defRPr>
                </a:pPr>
                <a:endParaRPr lang="ru-RU"/>
              </a:p>
            </c:txPr>
            <c:showVal val="1"/>
          </c:dLbls>
          <c:cat>
            <c:strRef>
              <c:f>'Анализ рынка СВОДНЫЙ'!$A$39:$A$42</c:f>
              <c:strCache>
                <c:ptCount val="4"/>
                <c:pt idx="0">
                  <c:v>Юго-запад</c:v>
                </c:pt>
                <c:pt idx="1">
                  <c:v>Северо-запад</c:v>
                </c:pt>
                <c:pt idx="2">
                  <c:v>Центр</c:v>
                </c:pt>
                <c:pt idx="3">
                  <c:v>Другие</c:v>
                </c:pt>
              </c:strCache>
            </c:strRef>
          </c:cat>
          <c:val>
            <c:numRef>
              <c:f>'Анализ рынка СВОДНЫЙ'!$DU$39:$DU$42</c:f>
              <c:numCache>
                <c:formatCode>#,##0</c:formatCode>
                <c:ptCount val="4"/>
                <c:pt idx="0">
                  <c:v>546</c:v>
                </c:pt>
                <c:pt idx="1">
                  <c:v>518</c:v>
                </c:pt>
                <c:pt idx="2">
                  <c:v>884</c:v>
                </c:pt>
                <c:pt idx="3">
                  <c:v>488</c:v>
                </c:pt>
              </c:numCache>
            </c:numRef>
          </c:val>
        </c:ser>
        <c:dLbls>
          <c:showVal val="1"/>
        </c:dLbls>
        <c:shape val="box"/>
        <c:axId val="129017728"/>
        <c:axId val="129019264"/>
        <c:axId val="0"/>
      </c:bar3DChart>
      <c:catAx>
        <c:axId val="129017728"/>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29019264"/>
        <c:crosses val="autoZero"/>
        <c:auto val="1"/>
        <c:lblAlgn val="ctr"/>
        <c:lblOffset val="100"/>
        <c:tickLblSkip val="1"/>
        <c:tickMarkSkip val="1"/>
      </c:catAx>
      <c:valAx>
        <c:axId val="129019264"/>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Cyr"/>
                <a:ea typeface="Arial Cyr"/>
                <a:cs typeface="Arial Cyr"/>
              </a:defRPr>
            </a:pPr>
            <a:endParaRPr lang="ru-RU"/>
          </a:p>
        </c:txPr>
        <c:crossAx val="129017728"/>
        <c:crosses val="autoZero"/>
        <c:crossBetween val="between"/>
      </c:valAx>
      <c:spPr>
        <a:no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375" b="0"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5035108953350373"/>
          <c:y val="0.62601626016260159"/>
        </c:manualLayout>
      </c:layout>
    </c:title>
    <c:plotArea>
      <c:layout>
        <c:manualLayout>
          <c:layoutTarget val="inner"/>
          <c:xMode val="edge"/>
          <c:yMode val="edge"/>
          <c:x val="9.5655374684383426E-2"/>
          <c:y val="0.11788617886178862"/>
          <c:w val="0.85340622577618208"/>
          <c:h val="0.62586710197810635"/>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ГОДОВОЙ'!$B$31:$L$31</c:f>
              <c:numCache>
                <c:formatCode>#,##0</c:formatCode>
                <c:ptCount val="11"/>
                <c:pt idx="0">
                  <c:v>578.8234652755184</c:v>
                </c:pt>
                <c:pt idx="1">
                  <c:v>510.41666666666674</c:v>
                </c:pt>
                <c:pt idx="2">
                  <c:v>540.58333333333417</c:v>
                </c:pt>
                <c:pt idx="3">
                  <c:v>587.8333333333336</c:v>
                </c:pt>
                <c:pt idx="4">
                  <c:v>676.66666666666663</c:v>
                </c:pt>
                <c:pt idx="5">
                  <c:v>717.16666666666663</c:v>
                </c:pt>
                <c:pt idx="6">
                  <c:v>641.04669024999998</c:v>
                </c:pt>
                <c:pt idx="7">
                  <c:v>619</c:v>
                </c:pt>
                <c:pt idx="8">
                  <c:v>600</c:v>
                </c:pt>
                <c:pt idx="9">
                  <c:v>557.25</c:v>
                </c:pt>
                <c:pt idx="10">
                  <c:v>640.58333333333417</c:v>
                </c:pt>
              </c:numCache>
            </c:numRef>
          </c:val>
          <c:smooth val="1"/>
        </c:ser>
        <c:dLbls>
          <c:showVal val="1"/>
        </c:dLbls>
        <c:marker val="1"/>
        <c:axId val="129043456"/>
        <c:axId val="129065728"/>
      </c:lineChart>
      <c:catAx>
        <c:axId val="129043456"/>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065728"/>
        <c:crosses val="autoZero"/>
        <c:lblAlgn val="ctr"/>
        <c:lblOffset val="100"/>
        <c:tickLblSkip val="1"/>
        <c:tickMarkSkip val="1"/>
      </c:catAx>
      <c:valAx>
        <c:axId val="129065728"/>
        <c:scaling>
          <c:orientation val="minMax"/>
          <c:max val="1150"/>
          <c:min val="50"/>
        </c:scaling>
        <c:axPos val="l"/>
        <c:majorGridlines>
          <c:spPr>
            <a:ln w="3175">
              <a:solidFill>
                <a:srgbClr val="000000">
                  <a:alpha val="29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043456"/>
        <c:crosses val="autoZero"/>
        <c:crossBetween val="midCat"/>
        <c:majorUnit val="27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9650333992611058"/>
          <c:y val="0.61788617886178854"/>
        </c:manualLayout>
      </c:layout>
    </c:title>
    <c:plotArea>
      <c:layout>
        <c:manualLayout>
          <c:layoutTarget val="inner"/>
          <c:xMode val="edge"/>
          <c:yMode val="edge"/>
          <c:x val="9.6026006227894728E-2"/>
          <c:y val="8.5365853658536647E-2"/>
          <c:w val="0.85445319335083114"/>
          <c:h val="0.65838742718135845"/>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ГОДОВОЙ'!$B$30:$L$30</c:f>
              <c:strCache>
                <c:ptCount val="11"/>
                <c:pt idx="0">
                  <c:v>2009</c:v>
                </c:pt>
                <c:pt idx="1">
                  <c:v>2010</c:v>
                </c:pt>
                <c:pt idx="2">
                  <c:v>2011</c:v>
                </c:pt>
                <c:pt idx="3">
                  <c:v>2012</c:v>
                </c:pt>
                <c:pt idx="4">
                  <c:v>2013</c:v>
                </c:pt>
                <c:pt idx="5">
                  <c:v>2014</c:v>
                </c:pt>
                <c:pt idx="6">
                  <c:v>2015</c:v>
                </c:pt>
                <c:pt idx="7">
                  <c:v>2016</c:v>
                </c:pt>
                <c:pt idx="8">
                  <c:v>2 017</c:v>
                </c:pt>
                <c:pt idx="9">
                  <c:v>2 018</c:v>
                </c:pt>
                <c:pt idx="10">
                  <c:v>2 019</c:v>
                </c:pt>
              </c:strCache>
            </c:strRef>
          </c:cat>
          <c:val>
            <c:numRef>
              <c:f>'Анализ рынка ГОДОВОЙ'!$B$32:$L$32</c:f>
              <c:numCache>
                <c:formatCode>0%</c:formatCode>
                <c:ptCount val="11"/>
                <c:pt idx="0">
                  <c:v>1</c:v>
                </c:pt>
                <c:pt idx="1">
                  <c:v>0.88181750963345906</c:v>
                </c:pt>
                <c:pt idx="2">
                  <c:v>0.93393472408036649</c:v>
                </c:pt>
                <c:pt idx="3">
                  <c:v>1.0155658306864359</c:v>
                </c:pt>
                <c:pt idx="4">
                  <c:v>1.1690380699140721</c:v>
                </c:pt>
                <c:pt idx="5">
                  <c:v>1.2390075898621302</c:v>
                </c:pt>
                <c:pt idx="6">
                  <c:v>1.1074994859527048</c:v>
                </c:pt>
                <c:pt idx="7">
                  <c:v>1.069410687601196</c:v>
                </c:pt>
                <c:pt idx="8">
                  <c:v>1.0365854807119845</c:v>
                </c:pt>
                <c:pt idx="9">
                  <c:v>0.9627287652112555</c:v>
                </c:pt>
                <c:pt idx="10">
                  <c:v>1.106698970865698</c:v>
                </c:pt>
              </c:numCache>
            </c:numRef>
          </c:val>
          <c:smooth val="1"/>
        </c:ser>
        <c:dLbls>
          <c:showVal val="1"/>
        </c:dLbls>
        <c:marker val="1"/>
        <c:axId val="129089920"/>
        <c:axId val="129091456"/>
      </c:lineChart>
      <c:catAx>
        <c:axId val="129089920"/>
        <c:scaling>
          <c:orientation val="minMax"/>
        </c:scaling>
        <c:axPos val="b"/>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091456"/>
        <c:crosses val="autoZero"/>
        <c:lblAlgn val="ctr"/>
        <c:lblOffset val="100"/>
        <c:tickLblSkip val="1"/>
        <c:tickMarkSkip val="1"/>
      </c:catAx>
      <c:valAx>
        <c:axId val="129091456"/>
        <c:scaling>
          <c:orientation val="minMax"/>
          <c:max val="1.6"/>
          <c:min val="0.2"/>
        </c:scaling>
        <c:axPos val="l"/>
        <c:majorGridlines>
          <c:spPr>
            <a:ln w="3175">
              <a:solidFill>
                <a:srgbClr val="000000">
                  <a:alpha val="30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089920"/>
        <c:crosses val="autoZero"/>
        <c:crossBetween val="midCat"/>
        <c:majorUnit val="0.30000000000000032"/>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0018422567645369"/>
          <c:y val="0.75268817204301897"/>
        </c:manualLayout>
      </c:layout>
    </c:title>
    <c:plotArea>
      <c:layout>
        <c:manualLayout>
          <c:layoutTarget val="inner"/>
          <c:xMode val="edge"/>
          <c:yMode val="edge"/>
          <c:x val="9.6513301284244665E-2"/>
          <c:y val="3.6706250084534896E-2"/>
          <c:w val="0.83419689119170981"/>
          <c:h val="0.79991956650579965"/>
        </c:manualLayout>
      </c:layout>
      <c:lineChart>
        <c:grouping val="stacked"/>
        <c:ser>
          <c:idx val="0"/>
          <c:order val="0"/>
          <c:spPr>
            <a:ln w="25400">
              <a:solidFill>
                <a:schemeClr val="tx2">
                  <a:lumMod val="75000"/>
                </a:schemeClr>
              </a:solidFill>
              <a:prstDash val="solid"/>
            </a:ln>
          </c:spPr>
          <c:marker>
            <c:symbol val="diamond"/>
            <c:size val="4"/>
            <c:spPr>
              <a:solidFill>
                <a:srgbClr val="000080"/>
              </a:solidFill>
              <a:ln>
                <a:solidFill>
                  <a:srgbClr val="CCFFCC"/>
                </a:solidFill>
                <a:prstDash val="solid"/>
              </a:ln>
            </c:spPr>
          </c:marker>
          <c:dLbls>
            <c:dLbl>
              <c:idx val="0"/>
              <c:layout>
                <c:manualLayout>
                  <c:x val="-9.389932420603769E-3"/>
                  <c:y val="-5.0231241249497585E-2"/>
                </c:manualLayout>
              </c:layout>
              <c:dLblPos val="r"/>
              <c:showVal val="1"/>
            </c:dLbl>
            <c:dLbl>
              <c:idx val="1"/>
              <c:layout>
                <c:manualLayout>
                  <c:x val="-2.7902250987368402E-2"/>
                  <c:y val="-5.777145369036786E-2"/>
                </c:manualLayout>
              </c:layout>
              <c:dLblPos val="r"/>
              <c:showVal val="1"/>
            </c:dLbl>
            <c:dLbl>
              <c:idx val="2"/>
              <c:layout>
                <c:manualLayout>
                  <c:x val="-3.3191602962265782E-2"/>
                  <c:y val="-5.811624770688955E-2"/>
                </c:manualLayout>
              </c:layout>
              <c:dLblPos val="r"/>
              <c:showVal val="1"/>
            </c:dLbl>
            <c:dLbl>
              <c:idx val="3"/>
              <c:layout>
                <c:manualLayout>
                  <c:x val="-2.8563425661262003E-2"/>
                  <c:y val="-6.2434183464614629E-2"/>
                </c:manualLayout>
              </c:layout>
              <c:dLblPos val="r"/>
              <c:showVal val="1"/>
            </c:dLbl>
            <c:dLbl>
              <c:idx val="4"/>
              <c:layout>
                <c:manualLayout>
                  <c:x val="-3.5505670198142866E-2"/>
                  <c:y val="-6.802428539093941E-2"/>
                </c:manualLayout>
              </c:layout>
              <c:dLblPos val="r"/>
              <c:showVal val="1"/>
            </c:dLbl>
            <c:dLbl>
              <c:idx val="5"/>
              <c:layout>
                <c:manualLayout>
                  <c:x val="-3.3430688481669871E-2"/>
                  <c:y val="-5.7580721269589102E-2"/>
                </c:manualLayout>
              </c:layout>
              <c:dLblPos val="r"/>
              <c:showVal val="1"/>
            </c:dLbl>
            <c:dLbl>
              <c:idx val="6"/>
              <c:layout>
                <c:manualLayout>
                  <c:x val="-3.578907182056789E-2"/>
                  <c:y val="-5.9109304885276513E-2"/>
                </c:manualLayout>
              </c:layout>
              <c:dLblPos val="r"/>
              <c:showVal val="1"/>
            </c:dLbl>
            <c:dLbl>
              <c:idx val="7"/>
              <c:layout>
                <c:manualLayout>
                  <c:x val="-2.5234159779614684E-2"/>
                  <c:y val="-8.1333079332825312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0.13278236914600591"/>
                  <c:y val="-0.10061341122682246"/>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0.11030303030303028"/>
                  <c:y val="-6.879519092371616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0.12253443526170812"/>
                  <c:y val="7.3778680890696042E-3"/>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0.1380716253443508"/>
                  <c:y val="-9.1287782575565149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4920110192837471"/>
                  <c:y val="-0.1028016256032512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0.13498622589531856"/>
                  <c:y val="-0.11008170349674036"/>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СВОДНЫЙ'!$Y$3:$DU$3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СВОДНЫЙ'!$Y$43:$DU$43</c:f>
              <c:numCache>
                <c:formatCode>#,##0</c:formatCode>
                <c:ptCount val="6"/>
                <c:pt idx="0">
                  <c:v>662</c:v>
                </c:pt>
                <c:pt idx="1">
                  <c:v>689</c:v>
                </c:pt>
                <c:pt idx="2">
                  <c:v>715</c:v>
                </c:pt>
                <c:pt idx="3">
                  <c:v>691</c:v>
                </c:pt>
                <c:pt idx="4">
                  <c:v>614</c:v>
                </c:pt>
                <c:pt idx="5">
                  <c:v>633</c:v>
                </c:pt>
              </c:numCache>
            </c:numRef>
          </c:val>
          <c:smooth val="1"/>
        </c:ser>
        <c:dLbls>
          <c:showVal val="1"/>
        </c:dLbls>
        <c:marker val="1"/>
        <c:axId val="129180032"/>
        <c:axId val="129181568"/>
      </c:lineChart>
      <c:catAx>
        <c:axId val="129180032"/>
        <c:scaling>
          <c:orientation val="minMax"/>
        </c:scaling>
        <c:axPos val="b"/>
        <c:numFmt formatCode="@"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29181568"/>
        <c:crosses val="autoZero"/>
        <c:lblAlgn val="ctr"/>
        <c:lblOffset val="100"/>
        <c:tickLblSkip val="1"/>
        <c:tickMarkSkip val="1"/>
      </c:catAx>
      <c:valAx>
        <c:axId val="129181568"/>
        <c:scaling>
          <c:orientation val="minMax"/>
          <c:max val="1150"/>
          <c:min val="5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180032"/>
        <c:crosses val="autoZero"/>
        <c:crossBetween val="midCat"/>
        <c:majorUnit val="270"/>
      </c:valAx>
      <c:spPr>
        <a:solidFill>
          <a:schemeClr val="accent5">
            <a:lumMod val="20000"/>
            <a:lumOff val="80000"/>
          </a:schemeClr>
        </a:solidFill>
        <a:ln w="12700">
          <a:solidFill>
            <a:srgbClr val="808080"/>
          </a:solidFill>
          <a:prstDash val="solid"/>
        </a:ln>
      </c:spPr>
    </c:plotArea>
    <c:plotVisOnly val="1"/>
    <c:dispBlanksAs val="zero"/>
  </c:chart>
  <c:spPr>
    <a:solidFill>
      <a:schemeClr val="accent5">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3007898894154823"/>
          <c:y val="0.73655913978494558"/>
        </c:manualLayout>
      </c:layout>
    </c:title>
    <c:plotArea>
      <c:layout>
        <c:manualLayout>
          <c:layoutTarget val="inner"/>
          <c:xMode val="edge"/>
          <c:yMode val="edge"/>
          <c:x val="7.5146554547980082E-2"/>
          <c:y val="3.2226664333867228E-2"/>
          <c:w val="0.85816571506760708"/>
          <c:h val="0.81255397510794303"/>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1.4286359603253343E-2"/>
                  <c:y val="-4.0329607593351462E-2"/>
                </c:manualLayout>
              </c:layout>
              <c:dLblPos val="r"/>
              <c:showVal val="1"/>
            </c:dLbl>
            <c:dLbl>
              <c:idx val="1"/>
              <c:layout>
                <c:manualLayout>
                  <c:x val="-2.5470629146957028E-2"/>
                  <c:y val="-6.2100982215276192E-2"/>
                </c:manualLayout>
              </c:layout>
              <c:dLblPos val="r"/>
              <c:showVal val="1"/>
            </c:dLbl>
            <c:dLbl>
              <c:idx val="2"/>
              <c:layout>
                <c:manualLayout>
                  <c:x val="-3.0075778143804559E-2"/>
                  <c:y val="-5.8989220417060707E-2"/>
                </c:manualLayout>
              </c:layout>
              <c:dLblPos val="r"/>
              <c:showVal val="1"/>
            </c:dLbl>
            <c:dLbl>
              <c:idx val="3"/>
              <c:layout>
                <c:manualLayout>
                  <c:x val="-5.6062646774416414E-2"/>
                  <c:y val="-5.7377868089069466E-2"/>
                </c:manualLayout>
              </c:layout>
              <c:dLblPos val="r"/>
              <c:showVal val="1"/>
            </c:dLbl>
            <c:dLbl>
              <c:idx val="4"/>
              <c:layout>
                <c:manualLayout>
                  <c:x val="-6.3409138002486529E-2"/>
                  <c:y val="-5.8528913724494105E-2"/>
                </c:manualLayout>
              </c:layout>
              <c:dLblPos val="r"/>
              <c:showVal val="1"/>
            </c:dLbl>
            <c:dLbl>
              <c:idx val="5"/>
              <c:layout>
                <c:manualLayout>
                  <c:x val="-5.4710768061887002E-2"/>
                  <c:y val="-5.2422741512149734E-2"/>
                </c:manualLayout>
              </c:layout>
              <c:dLblPos val="r"/>
              <c:showVal val="1"/>
            </c:dLbl>
            <c:dLbl>
              <c:idx val="6"/>
              <c:layout>
                <c:manualLayout>
                  <c:x val="-3.6452030667219762E-2"/>
                  <c:y val="-5.927059520785706E-2"/>
                </c:manualLayout>
              </c:layout>
              <c:dLblPos val="r"/>
              <c:showVal val="1"/>
            </c:dLbl>
            <c:dLbl>
              <c:idx val="7"/>
              <c:layout>
                <c:manualLayout>
                  <c:x val="-2.2018579914352809E-2"/>
                  <c:y val="-6.1898230463127812E-2"/>
                </c:manualLayout>
              </c:layout>
              <c:dLblPos val="r"/>
              <c:showVal val="1"/>
            </c:dLbl>
            <c:dLbl>
              <c:idx val="8"/>
              <c:layout>
                <c:manualLayout>
                  <c:x val="-6.0274899848045432E-2"/>
                  <c:y val="0.28764372195411081"/>
                </c:manualLayout>
              </c:layout>
              <c:dLblPos val="r"/>
              <c:showVal val="1"/>
            </c:dLbl>
            <c:dLbl>
              <c:idx val="9"/>
              <c:layout>
                <c:manualLayout>
                  <c:x val="-7.8246304738223499E-2"/>
                  <c:y val="0.38269028871391081"/>
                </c:manualLayout>
              </c:layout>
              <c:dLblPos val="r"/>
              <c:showVal val="1"/>
            </c:dLbl>
            <c:dLbl>
              <c:idx val="10"/>
              <c:layout>
                <c:manualLayout>
                  <c:x val="-7.6480867523138499E-2"/>
                  <c:y val="0.46564050461434281"/>
                </c:manualLayout>
              </c:layout>
              <c:dLblPos val="r"/>
              <c:showVal val="1"/>
            </c:dLbl>
            <c:dLbl>
              <c:idx val="11"/>
              <c:layout>
                <c:manualLayout>
                  <c:x val="-8.2939114518579882E-2"/>
                  <c:y val="0.40319701972737276"/>
                </c:manualLayout>
              </c:layout>
              <c:dLblPos val="r"/>
              <c:showVal val="1"/>
            </c:dLbl>
            <c:dLbl>
              <c:idx val="12"/>
              <c:layout>
                <c:manualLayout>
                  <c:x val="-9.3235080812267043E-2"/>
                  <c:y val="0.3597642028617391"/>
                </c:manualLayout>
              </c:layout>
              <c:dLblPos val="r"/>
              <c:showVal val="1"/>
            </c:dLbl>
            <c:dLbl>
              <c:idx val="13"/>
              <c:layout>
                <c:manualLayout>
                  <c:x val="-7.9956313026661133E-2"/>
                  <c:y val="0.2898310896621793"/>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СВОДНЫЙ'!$CX$38:$DU$38</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СВОДНЫЙ'!$CX$44:$DU$44</c:f>
              <c:numCache>
                <c:formatCode>0%</c:formatCode>
                <c:ptCount val="6"/>
                <c:pt idx="0">
                  <c:v>1.1436993137188896</c:v>
                </c:pt>
                <c:pt idx="1">
                  <c:v>1.190345660350929</c:v>
                </c:pt>
                <c:pt idx="2">
                  <c:v>1.2352643645151147</c:v>
                </c:pt>
                <c:pt idx="3">
                  <c:v>1.1938009452866356</c:v>
                </c:pt>
                <c:pt idx="4">
                  <c:v>1.0607724752619307</c:v>
                </c:pt>
                <c:pt idx="5">
                  <c:v>1.0935976821511433</c:v>
                </c:pt>
              </c:numCache>
            </c:numRef>
          </c:val>
          <c:smooth val="1"/>
        </c:ser>
        <c:dLbls>
          <c:showVal val="1"/>
        </c:dLbls>
        <c:marker val="1"/>
        <c:axId val="129205760"/>
        <c:axId val="129207296"/>
      </c:lineChart>
      <c:catAx>
        <c:axId val="129205760"/>
        <c:scaling>
          <c:orientation val="minMax"/>
        </c:scaling>
        <c:axPos val="b"/>
        <c:numFmt formatCode="#,##0"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29207296"/>
        <c:crosses val="autoZero"/>
        <c:lblAlgn val="ctr"/>
        <c:lblOffset val="100"/>
        <c:tickLblSkip val="1"/>
        <c:tickMarkSkip val="1"/>
      </c:catAx>
      <c:valAx>
        <c:axId val="129207296"/>
        <c:scaling>
          <c:orientation val="minMax"/>
          <c:max val="2"/>
          <c:min val="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9205760"/>
        <c:crosses val="autoZero"/>
        <c:crossBetween val="midCat"/>
        <c:majorUnit val="0.4"/>
      </c:valAx>
      <c:spPr>
        <a:solidFill>
          <a:schemeClr val="bg2"/>
        </a:solidFill>
        <a:ln w="12700">
          <a:solidFill>
            <a:srgbClr val="808080"/>
          </a:solidFill>
          <a:prstDash val="solid"/>
        </a:ln>
      </c:spPr>
    </c:plotArea>
    <c:plotVisOnly val="1"/>
    <c:dispBlanksAs val="gap"/>
  </c:chart>
  <c:spPr>
    <a:solidFill>
      <a:schemeClr val="bg2">
        <a:lumMod val="9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95316804407763"/>
          <c:y val="0.91863517060368205"/>
        </c:manualLayout>
      </c:layout>
    </c:title>
    <c:view3D>
      <c:perspective val="0"/>
    </c:view3D>
    <c:plotArea>
      <c:layout>
        <c:manualLayout>
          <c:layoutTarget val="inner"/>
          <c:xMode val="edge"/>
          <c:yMode val="edge"/>
          <c:x val="0.16918453960615837"/>
          <c:y val="0.35317597181909327"/>
          <c:w val="0.67069585343872384"/>
          <c:h val="0.3492077024728053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8.2581218133231833E-3"/>
                  <c:y val="-4.2816314627339293E-2"/>
                </c:manualLayout>
              </c:layout>
              <c:dLblPos val="bestFit"/>
              <c:showCatName val="1"/>
              <c:showPercent val="1"/>
            </c:dLbl>
            <c:dLbl>
              <c:idx val="1"/>
              <c:layout>
                <c:manualLayout>
                  <c:x val="2.2235092514262592E-2"/>
                  <c:y val="8.4998449996900746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СВОДНЫЙ'!$A$126:$A$128</c:f>
              <c:strCache>
                <c:ptCount val="3"/>
                <c:pt idx="0">
                  <c:v>Торговая</c:v>
                </c:pt>
                <c:pt idx="1">
                  <c:v>Офисная</c:v>
                </c:pt>
                <c:pt idx="2">
                  <c:v>Произ.-склад.</c:v>
                </c:pt>
              </c:strCache>
            </c:strRef>
          </c:cat>
          <c:val>
            <c:numRef>
              <c:f>'Анализ рынка СВОДНЫЙ'!$DU$126:$DU$128</c:f>
              <c:numCache>
                <c:formatCode>#,##0</c:formatCode>
                <c:ptCount val="3"/>
                <c:pt idx="0">
                  <c:v>53</c:v>
                </c:pt>
                <c:pt idx="1">
                  <c:v>41</c:v>
                </c:pt>
                <c:pt idx="2">
                  <c:v>21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944653183912179"/>
          <c:y val="0.92307692307692257"/>
        </c:manualLayout>
      </c:layout>
    </c:title>
    <c:view3D>
      <c:perspective val="0"/>
    </c:view3D>
    <c:plotArea>
      <c:layout>
        <c:manualLayout>
          <c:layoutTarget val="inner"/>
          <c:xMode val="edge"/>
          <c:yMode val="edge"/>
          <c:x val="0.11550151975683892"/>
          <c:y val="0.29554714295598539"/>
          <c:w val="0.77203647416414101"/>
          <c:h val="0.40890769093910673"/>
        </c:manualLayout>
      </c:layout>
      <c:pie3DChart>
        <c:varyColors val="1"/>
        <c:ser>
          <c:idx val="0"/>
          <c:order val="0"/>
          <c:spPr>
            <a:solidFill>
              <a:srgbClr val="9999FF"/>
            </a:solidFill>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FF9900"/>
              </a:solidFill>
              <a:ln w="12700">
                <a:solidFill>
                  <a:srgbClr val="000000"/>
                </a:solidFill>
                <a:prstDash val="solid"/>
              </a:ln>
            </c:spPr>
          </c:dPt>
          <c:dLbls>
            <c:dLbl>
              <c:idx val="0"/>
              <c:layout>
                <c:manualLayout>
                  <c:x val="-3.2424390934535675E-2"/>
                  <c:y val="-0.13707418151678424"/>
                </c:manualLayout>
              </c:layout>
              <c:dLblPos val="bestFit"/>
              <c:showCatName val="1"/>
              <c:showPercent val="1"/>
            </c:dLbl>
            <c:dLbl>
              <c:idx val="2"/>
              <c:layout>
                <c:manualLayout>
                  <c:x val="2.1031354483179766E-2"/>
                  <c:y val="-0.1701361216487615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СВОДНЫЙ'!$A$74:$A$77</c:f>
              <c:strCache>
                <c:ptCount val="4"/>
                <c:pt idx="0">
                  <c:v>Юго-запад</c:v>
                </c:pt>
                <c:pt idx="1">
                  <c:v>Северо-запад</c:v>
                </c:pt>
                <c:pt idx="2">
                  <c:v>Центр</c:v>
                </c:pt>
                <c:pt idx="3">
                  <c:v>Другие</c:v>
                </c:pt>
              </c:strCache>
            </c:strRef>
          </c:cat>
          <c:val>
            <c:numRef>
              <c:f>'Анализ рынка СВОДНЫЙ'!$DU$74:$DU$77</c:f>
              <c:numCache>
                <c:formatCode>#,##0</c:formatCode>
                <c:ptCount val="4"/>
                <c:pt idx="0">
                  <c:v>27</c:v>
                </c:pt>
                <c:pt idx="1">
                  <c:v>9</c:v>
                </c:pt>
                <c:pt idx="2">
                  <c:v>13</c:v>
                </c:pt>
                <c:pt idx="3">
                  <c:v>4</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0" i="1" u="none" strike="noStrike" baseline="0">
                <a:solidFill>
                  <a:schemeClr val="tx2">
                    <a:lumMod val="75000"/>
                  </a:schemeClr>
                </a:solidFill>
                <a:latin typeface="Times New Roman" pitchFamily="18" charset="0"/>
                <a:ea typeface="Arial Cyr"/>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 "Центр ИЛЕКТА" </a:t>
            </a:r>
          </a:p>
        </c:rich>
      </c:tx>
      <c:layout>
        <c:manualLayout>
          <c:xMode val="edge"/>
          <c:yMode val="edge"/>
          <c:x val="0.52672453748160064"/>
          <c:y val="0.93032958994879733"/>
        </c:manualLayout>
      </c:layout>
      <c:spPr>
        <a:noFill/>
        <a:ln w="25400">
          <a:noFill/>
        </a:ln>
      </c:spPr>
    </c:title>
    <c:view3D>
      <c:rotX val="31"/>
      <c:hPercent val="70"/>
      <c:rotY val="44"/>
      <c:depthPercent val="100"/>
      <c:rAngAx val="1"/>
    </c:view3D>
    <c:floor>
      <c:spPr>
        <a:solidFill>
          <a:srgbClr val="C0C0C0"/>
        </a:solidFill>
        <a:ln w="3175">
          <a:solidFill>
            <a:srgbClr val="000000"/>
          </a:solidFill>
          <a:prstDash val="solid"/>
        </a:ln>
      </c:spPr>
    </c:floor>
    <c:sideWall>
      <c:spPr>
        <a:solidFill>
          <a:srgbClr val="99CCFF"/>
        </a:solidFill>
        <a:ln w="12700">
          <a:solidFill>
            <a:srgbClr val="808080"/>
          </a:solidFill>
          <a:prstDash val="solid"/>
        </a:ln>
      </c:spPr>
    </c:sideWall>
    <c:backWall>
      <c:spPr>
        <a:solidFill>
          <a:srgbClr val="99CCFF"/>
        </a:solidFill>
        <a:ln w="12700">
          <a:solidFill>
            <a:srgbClr val="808080"/>
          </a:solidFill>
          <a:prstDash val="solid"/>
        </a:ln>
      </c:spPr>
    </c:backWall>
    <c:plotArea>
      <c:layout>
        <c:manualLayout>
          <c:layoutTarget val="inner"/>
          <c:xMode val="edge"/>
          <c:yMode val="edge"/>
          <c:x val="8.9595502161285728E-2"/>
          <c:y val="1.639347542879805E-2"/>
          <c:w val="0.89884519910190008"/>
          <c:h val="0.84563013639689788"/>
        </c:manualLayout>
      </c:layout>
      <c:bar3DChart>
        <c:barDir val="col"/>
        <c:grouping val="clustered"/>
        <c:ser>
          <c:idx val="0"/>
          <c:order val="0"/>
          <c:spPr>
            <a:solidFill>
              <a:srgbClr val="FFCC99"/>
            </a:solidFill>
            <a:ln w="12700">
              <a:solidFill>
                <a:srgbClr val="000000"/>
              </a:solidFill>
              <a:prstDash val="solid"/>
            </a:ln>
          </c:spPr>
          <c:dPt>
            <c:idx val="0"/>
            <c:spPr>
              <a:solidFill>
                <a:srgbClr val="FFFF00"/>
              </a:solidFill>
              <a:ln w="12700">
                <a:solidFill>
                  <a:srgbClr val="000000"/>
                </a:solidFill>
                <a:prstDash val="solid"/>
              </a:ln>
            </c:spPr>
          </c:dPt>
          <c:dPt>
            <c:idx val="1"/>
            <c:spPr>
              <a:solidFill>
                <a:srgbClr val="00FFFF"/>
              </a:solidFill>
              <a:ln w="12700">
                <a:solidFill>
                  <a:srgbClr val="000000"/>
                </a:solidFill>
                <a:prstDash val="solid"/>
              </a:ln>
            </c:spPr>
          </c:dPt>
          <c:dPt>
            <c:idx val="2"/>
            <c:spPr>
              <a:solidFill>
                <a:srgbClr val="00FF00"/>
              </a:solidFill>
              <a:ln w="12700">
                <a:solidFill>
                  <a:srgbClr val="000000"/>
                </a:solidFill>
                <a:prstDash val="solid"/>
              </a:ln>
            </c:spPr>
          </c:dPt>
          <c:dPt>
            <c:idx val="3"/>
            <c:spPr>
              <a:solidFill>
                <a:srgbClr val="993300"/>
              </a:solidFill>
              <a:ln w="12700">
                <a:solidFill>
                  <a:srgbClr val="000000"/>
                </a:solidFill>
                <a:prstDash val="solid"/>
              </a:ln>
            </c:spPr>
          </c:dPt>
          <c:dLbls>
            <c:dLbl>
              <c:idx val="0"/>
              <c:layout>
                <c:manualLayout>
                  <c:x val="3.7168085203222428E-2"/>
                  <c:y val="-3.1845875822899938E-2"/>
                </c:manualLayout>
              </c:layout>
              <c:showVal val="1"/>
            </c:dLbl>
            <c:dLbl>
              <c:idx val="1"/>
              <c:layout>
                <c:manualLayout>
                  <c:x val="2.6686369382355416E-2"/>
                  <c:y val="-7.1011490437657462E-2"/>
                </c:manualLayout>
              </c:layout>
              <c:showVal val="1"/>
            </c:dLbl>
            <c:dLbl>
              <c:idx val="2"/>
              <c:layout>
                <c:manualLayout>
                  <c:x val="3.9326156965711248E-2"/>
                  <c:y val="-3.9624689659308703E-2"/>
                </c:manualLayout>
              </c:layout>
              <c:showVal val="1"/>
            </c:dLbl>
            <c:dLbl>
              <c:idx val="3"/>
              <c:layout>
                <c:manualLayout>
                  <c:x val="4.9075464041812122E-2"/>
                  <c:y val="-6.1680993237200332E-2"/>
                </c:manualLayout>
              </c:layout>
              <c:showVal val="1"/>
            </c:dLbl>
            <c:spPr>
              <a:noFill/>
              <a:ln w="25400">
                <a:noFill/>
              </a:ln>
            </c:spPr>
            <c:txPr>
              <a:bodyPr/>
              <a:lstStyle/>
              <a:p>
                <a:pPr>
                  <a:defRPr sz="950" b="1" i="0" u="none" strike="noStrike" baseline="0">
                    <a:solidFill>
                      <a:srgbClr val="000000"/>
                    </a:solidFill>
                    <a:latin typeface="Times New Roman"/>
                    <a:ea typeface="Times New Roman"/>
                    <a:cs typeface="Times New Roman"/>
                  </a:defRPr>
                </a:pPr>
                <a:endParaRPr lang="ru-RU"/>
              </a:p>
            </c:txPr>
            <c:showVal val="1"/>
          </c:dLbls>
          <c:cat>
            <c:strRef>
              <c:f>'Анализ рынка СВОДНЫЙ'!$A$4:$A$7</c:f>
              <c:strCache>
                <c:ptCount val="4"/>
                <c:pt idx="0">
                  <c:v>Юго-запад</c:v>
                </c:pt>
                <c:pt idx="1">
                  <c:v>Северо-запад</c:v>
                </c:pt>
                <c:pt idx="2">
                  <c:v>Центр</c:v>
                </c:pt>
                <c:pt idx="3">
                  <c:v>Другие</c:v>
                </c:pt>
              </c:strCache>
            </c:strRef>
          </c:cat>
          <c:val>
            <c:numRef>
              <c:f>'Анализ рынка СВОДНЫЙ'!$DU$4:$DU$7</c:f>
              <c:numCache>
                <c:formatCode>#,##0</c:formatCode>
                <c:ptCount val="4"/>
                <c:pt idx="0">
                  <c:v>61336</c:v>
                </c:pt>
                <c:pt idx="1">
                  <c:v>40340</c:v>
                </c:pt>
                <c:pt idx="2">
                  <c:v>72003</c:v>
                </c:pt>
                <c:pt idx="3">
                  <c:v>30936</c:v>
                </c:pt>
              </c:numCache>
            </c:numRef>
          </c:val>
        </c:ser>
        <c:dLbls>
          <c:showVal val="1"/>
        </c:dLbls>
        <c:shape val="box"/>
        <c:axId val="128348544"/>
        <c:axId val="128350080"/>
        <c:axId val="0"/>
      </c:bar3DChart>
      <c:catAx>
        <c:axId val="128348544"/>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Cyr"/>
                <a:ea typeface="Arial Cyr"/>
                <a:cs typeface="Arial Cyr"/>
              </a:defRPr>
            </a:pPr>
            <a:endParaRPr lang="ru-RU"/>
          </a:p>
        </c:txPr>
        <c:crossAx val="128350080"/>
        <c:crosses val="autoZero"/>
        <c:auto val="1"/>
        <c:lblAlgn val="ctr"/>
        <c:lblOffset val="100"/>
        <c:tickLblSkip val="1"/>
        <c:tickMarkSkip val="1"/>
      </c:catAx>
      <c:valAx>
        <c:axId val="12835008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550" b="0" i="0" u="none" strike="noStrike" baseline="0">
                <a:solidFill>
                  <a:srgbClr val="000000"/>
                </a:solidFill>
                <a:latin typeface="Arial Cyr"/>
                <a:ea typeface="Arial Cyr"/>
                <a:cs typeface="Arial Cyr"/>
              </a:defRPr>
            </a:pPr>
            <a:endParaRPr lang="ru-RU"/>
          </a:p>
        </c:txPr>
        <c:crossAx val="128348544"/>
        <c:crosses val="autoZero"/>
        <c:crossBetween val="between"/>
      </c:valAx>
      <c:spPr>
        <a:noFill/>
        <a:ln w="25400">
          <a:noFill/>
        </a:ln>
      </c:spPr>
    </c:plotArea>
    <c:plotVisOnly val="1"/>
    <c:dispBlanksAs val="gap"/>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375" b="0"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p>
        </c:rich>
      </c:tx>
      <c:layout>
        <c:manualLayout>
          <c:xMode val="edge"/>
          <c:yMode val="edge"/>
          <c:x val="0.65580161476356214"/>
          <c:y val="0.64646444762586563"/>
        </c:manualLayout>
      </c:layout>
    </c:title>
    <c:plotArea>
      <c:layout>
        <c:manualLayout>
          <c:layoutTarget val="inner"/>
          <c:xMode val="edge"/>
          <c:yMode val="edge"/>
          <c:x val="0.11672052239144849"/>
          <c:y val="0.10227272727272729"/>
          <c:w val="0.83225294935018934"/>
          <c:h val="0.64380040563112073"/>
        </c:manualLayout>
      </c:layout>
      <c:lineChart>
        <c:grouping val="stacked"/>
        <c:ser>
          <c:idx val="0"/>
          <c:order val="0"/>
          <c:dLbls>
            <c:dLbl>
              <c:idx val="0"/>
              <c:layout>
                <c:manualLayout>
                  <c:x val="4.6136101499423314E-2"/>
                  <c:y val="-3.4721821112782809E-17"/>
                </c:manualLayout>
              </c:layout>
              <c:dLblPos val="t"/>
              <c:showVal val="1"/>
            </c:dLbl>
            <c:dLbl>
              <c:idx val="1"/>
              <c:dLblPos val="b"/>
              <c:showVal val="1"/>
            </c:dLbl>
            <c:dLbl>
              <c:idx val="3"/>
              <c:dLblPos val="b"/>
              <c:showVal val="1"/>
            </c:dLbl>
            <c:dLbl>
              <c:idx val="5"/>
              <c:dLblPos val="b"/>
              <c:showVal val="1"/>
            </c:dLbl>
            <c:dLbl>
              <c:idx val="7"/>
              <c:dLblPos val="b"/>
              <c:showVal val="1"/>
            </c:dLbl>
            <c:dLbl>
              <c:idx val="9"/>
              <c:tx>
                <c:rich>
                  <a:bodyPr/>
                  <a:lstStyle/>
                  <a:p>
                    <a:r>
                      <a:rPr lang="ru-RU" i="1"/>
                      <a:t> 56 524</a:t>
                    </a:r>
                  </a:p>
                </c:rich>
              </c:tx>
              <c:dLblPos val="b"/>
              <c:showVal val="1"/>
              <c:showSerName val="1"/>
            </c:dLbl>
            <c:txPr>
              <a:bodyPr/>
              <a:lstStyle/>
              <a:p>
                <a:pPr>
                  <a:defRPr i="1"/>
                </a:pPr>
                <a:endParaRPr lang="ru-RU"/>
              </a:p>
            </c:txPr>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ГОДОВОЙ'!$B$4:$L$4</c:f>
              <c:numCache>
                <c:formatCode>#,##0</c:formatCode>
                <c:ptCount val="11"/>
                <c:pt idx="0">
                  <c:v>47964.101946302995</c:v>
                </c:pt>
                <c:pt idx="1">
                  <c:v>46886.333333333336</c:v>
                </c:pt>
                <c:pt idx="2">
                  <c:v>46430.166666666613</c:v>
                </c:pt>
                <c:pt idx="3">
                  <c:v>47515.166666666613</c:v>
                </c:pt>
                <c:pt idx="4">
                  <c:v>46063.083333333336</c:v>
                </c:pt>
                <c:pt idx="5">
                  <c:v>52887.083333333336</c:v>
                </c:pt>
                <c:pt idx="6">
                  <c:v>59687.962850000011</c:v>
                </c:pt>
                <c:pt idx="7">
                  <c:v>57795</c:v>
                </c:pt>
                <c:pt idx="8">
                  <c:v>53283</c:v>
                </c:pt>
                <c:pt idx="9">
                  <c:v>56524.124999999993</c:v>
                </c:pt>
                <c:pt idx="10">
                  <c:v>54934.583333333336</c:v>
                </c:pt>
              </c:numCache>
            </c:numRef>
          </c:val>
          <c:smooth val="1"/>
        </c:ser>
        <c:dLbls>
          <c:showVal val="1"/>
        </c:dLbls>
        <c:marker val="1"/>
        <c:axId val="128378368"/>
        <c:axId val="128379904"/>
      </c:lineChart>
      <c:catAx>
        <c:axId val="128378368"/>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379904"/>
        <c:crosses val="autoZero"/>
        <c:lblAlgn val="ctr"/>
        <c:lblOffset val="100"/>
        <c:tickLblSkip val="1"/>
        <c:tickMarkSkip val="1"/>
      </c:catAx>
      <c:valAx>
        <c:axId val="128379904"/>
        <c:scaling>
          <c:orientation val="minMax"/>
          <c:max val="75000"/>
          <c:min val="25000"/>
        </c:scaling>
        <c:axPos val="l"/>
        <c:majorGridlines>
          <c:spPr>
            <a:ln w="3175">
              <a:solidFill>
                <a:srgbClr val="000000">
                  <a:alpha val="30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378368"/>
        <c:crosses val="autoZero"/>
        <c:crossBetween val="midCat"/>
        <c:majorUnit val="12000"/>
      </c:valAx>
      <c:spPr>
        <a:noFill/>
        <a:ln w="25400">
          <a:noFill/>
        </a:ln>
      </c:spPr>
    </c:plotArea>
    <c:plotVisOnly val="1"/>
    <c:dispBlanksAs val="zero"/>
  </c:chart>
  <c:spPr>
    <a:gradFill rotWithShape="0">
      <a:gsLst>
        <a:gs pos="0">
          <a:srgbClr val="CCFFCC"/>
        </a:gs>
        <a:gs pos="100000">
          <a:srgbClr val="CCFFCC">
            <a:gamma/>
            <a:shade val="46275"/>
            <a:invGamma/>
          </a:srgbClr>
        </a:gs>
      </a:gsLst>
      <a:lin ang="5400000" scaled="1"/>
    </a:gra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a:t>
            </a:r>
            <a:r>
              <a:rPr lang="en-US" sz="1000" i="1">
                <a:solidFill>
                  <a:schemeClr val="tx2">
                    <a:lumMod val="75000"/>
                  </a:schemeClr>
                </a:solidFill>
                <a:latin typeface="Times New Roman" pitchFamily="18" charset="0"/>
                <a:cs typeface="Times New Roman" pitchFamily="18" charset="0"/>
              </a:rPr>
              <a:t> 2020 </a:t>
            </a:r>
            <a:r>
              <a:rPr lang="ru-RU" sz="1000" i="1">
                <a:solidFill>
                  <a:schemeClr val="tx2">
                    <a:lumMod val="75000"/>
                  </a:schemeClr>
                </a:solidFill>
                <a:latin typeface="Times New Roman" pitchFamily="18" charset="0"/>
                <a:cs typeface="Times New Roman" pitchFamily="18" charset="0"/>
              </a:rPr>
              <a:t>ООО "Центр Илекта"</a:t>
            </a:r>
            <a:r>
              <a:rPr lang="ru-RU" sz="1000" i="1" baseline="0">
                <a:solidFill>
                  <a:schemeClr val="tx2">
                    <a:lumMod val="75000"/>
                  </a:schemeClr>
                </a:solidFill>
                <a:latin typeface="Times New Roman" pitchFamily="18" charset="0"/>
                <a:cs typeface="Times New Roman" pitchFamily="18" charset="0"/>
              </a:rPr>
              <a:t>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7908653150639664"/>
          <c:y val="0.67424242424242464"/>
        </c:manualLayout>
      </c:layout>
    </c:title>
    <c:plotArea>
      <c:layout>
        <c:manualLayout>
          <c:layoutTarget val="inner"/>
          <c:xMode val="edge"/>
          <c:yMode val="edge"/>
          <c:x val="9.5723562113792002E-2"/>
          <c:y val="0.10984848484848486"/>
          <c:w val="0.85783024366049521"/>
          <c:h val="0.68925495108565948"/>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3.359580052493441E-2"/>
                  <c:y val="3.4721821112782809E-17"/>
                </c:manualLayout>
              </c:layout>
              <c:dLblPos val="t"/>
              <c:showVal val="1"/>
            </c:dLbl>
            <c:dLbl>
              <c:idx val="1"/>
              <c:dLblPos val="b"/>
              <c:showVal val="1"/>
            </c:dLbl>
            <c:dLbl>
              <c:idx val="3"/>
              <c:dLblPos val="b"/>
              <c:showVal val="1"/>
            </c:dLbl>
            <c:dLbl>
              <c:idx val="5"/>
              <c:dLblPos val="b"/>
              <c:showVal val="1"/>
            </c:dLbl>
            <c:dLbl>
              <c:idx val="7"/>
              <c:dLblPos val="b"/>
              <c:showVal val="1"/>
            </c:dLbl>
            <c:dLbl>
              <c:idx val="9"/>
              <c:dLblPos val="b"/>
              <c:showVal val="1"/>
            </c:dLbl>
            <c:dLblPos val="t"/>
            <c:showVal val="1"/>
          </c:dLbls>
          <c:cat>
            <c:strRef>
              <c:f>'Анализ рынка ГОДОВОЙ'!$B$3:$L$3</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'Анализ рынка ГОДОВОЙ'!$B$5:$L$5</c:f>
              <c:numCache>
                <c:formatCode>0%</c:formatCode>
                <c:ptCount val="11"/>
                <c:pt idx="0">
                  <c:v>1</c:v>
                </c:pt>
                <c:pt idx="1">
                  <c:v>0.97752968221574865</c:v>
                </c:pt>
                <c:pt idx="2">
                  <c:v>0.96801909725415936</c:v>
                </c:pt>
                <c:pt idx="3">
                  <c:v>0.9906401816896534</c:v>
                </c:pt>
                <c:pt idx="4">
                  <c:v>0.96036580409453154</c:v>
                </c:pt>
                <c:pt idx="5">
                  <c:v>1.102638873392058</c:v>
                </c:pt>
                <c:pt idx="6">
                  <c:v>1.2444299054493311</c:v>
                </c:pt>
                <c:pt idx="7">
                  <c:v>1.2049636635478536</c:v>
                </c:pt>
                <c:pt idx="8">
                  <c:v>1.110893310577389</c:v>
                </c:pt>
                <c:pt idx="9">
                  <c:v>1.1784672850391338</c:v>
                </c:pt>
                <c:pt idx="10">
                  <c:v>1.1453270488590397</c:v>
                </c:pt>
              </c:numCache>
            </c:numRef>
          </c:val>
          <c:smooth val="1"/>
        </c:ser>
        <c:dLbls>
          <c:showVal val="1"/>
        </c:dLbls>
        <c:marker val="1"/>
        <c:axId val="128449152"/>
        <c:axId val="128520576"/>
      </c:lineChart>
      <c:catAx>
        <c:axId val="128449152"/>
        <c:scaling>
          <c:orientation val="minMax"/>
        </c:scaling>
        <c:axPos val="b"/>
        <c:numFmt formatCode="General"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520576"/>
        <c:crosses val="autoZero"/>
        <c:lblAlgn val="ctr"/>
        <c:lblOffset val="100"/>
        <c:tickLblSkip val="1"/>
        <c:tickMarkSkip val="1"/>
      </c:catAx>
      <c:valAx>
        <c:axId val="128520576"/>
        <c:scaling>
          <c:orientation val="minMax"/>
          <c:max val="1.5"/>
          <c:min val="0.5"/>
        </c:scaling>
        <c:axPos val="l"/>
        <c:majorGridlines>
          <c:spPr>
            <a:ln w="3175">
              <a:solidFill>
                <a:srgbClr val="000000">
                  <a:alpha val="30000"/>
                </a:srgbClr>
              </a:solidFill>
              <a:prstDash val="solid"/>
            </a:ln>
          </c:spPr>
        </c:majorGridlines>
        <c:numFmt formatCode="0%" sourceLinked="1"/>
        <c:maj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449152"/>
        <c:crosses val="autoZero"/>
        <c:crossBetween val="midCat"/>
        <c:majorUnit val="0.2"/>
      </c:valAx>
      <c:spPr>
        <a:noFill/>
        <a:ln w="25400">
          <a:noFill/>
        </a:ln>
      </c:spPr>
    </c:plotArea>
    <c:plotVisOnly val="1"/>
    <c:dispBlanksAs val="gap"/>
  </c:chart>
  <c:spPr>
    <a:solidFill>
      <a:srgbClr val="FFFFCC"/>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endParaRPr lang="ru-RU" sz="1000" i="1">
              <a:solidFill>
                <a:schemeClr val="tx2">
                  <a:lumMod val="75000"/>
                </a:schemeClr>
              </a:solidFill>
              <a:latin typeface="Times New Roman" pitchFamily="18" charset="0"/>
              <a:cs typeface="Times New Roman" pitchFamily="18" charset="0"/>
            </a:endParaRPr>
          </a:p>
        </c:rich>
      </c:tx>
      <c:layout>
        <c:manualLayout>
          <c:xMode val="edge"/>
          <c:yMode val="edge"/>
          <c:x val="0.60125850297420969"/>
          <c:y val="0.65292186010381892"/>
        </c:manualLayout>
      </c:layout>
    </c:title>
    <c:plotArea>
      <c:layout>
        <c:manualLayout>
          <c:layoutTarget val="inner"/>
          <c:xMode val="edge"/>
          <c:yMode val="edge"/>
          <c:x val="0.11561707035755478"/>
          <c:y val="3.6734693877551045E-2"/>
          <c:w val="0.82268170630920912"/>
          <c:h val="0.71564625850341435"/>
        </c:manualLayout>
      </c:layout>
      <c:lineChart>
        <c:grouping val="stacked"/>
        <c:ser>
          <c:idx val="0"/>
          <c:order val="0"/>
          <c:spPr>
            <a:ln w="25400">
              <a:solidFill>
                <a:schemeClr val="tx2">
                  <a:lumMod val="75000"/>
                </a:schemeClr>
              </a:solidFill>
              <a:prstDash val="solid"/>
            </a:ln>
          </c:spPr>
          <c:marker>
            <c:symbol val="diamond"/>
            <c:size val="4"/>
            <c:spPr>
              <a:solidFill>
                <a:schemeClr val="tx1"/>
              </a:solidFill>
              <a:ln>
                <a:solidFill>
                  <a:schemeClr val="tx2">
                    <a:lumMod val="75000"/>
                  </a:schemeClr>
                </a:solidFill>
                <a:prstDash val="solid"/>
              </a:ln>
            </c:spPr>
          </c:marker>
          <c:dLbls>
            <c:dLbl>
              <c:idx val="0"/>
              <c:layout>
                <c:manualLayout>
                  <c:x val="-2.0434374511133571E-2"/>
                  <c:y val="-5.8850500830253422E-2"/>
                </c:manualLayout>
              </c:layout>
              <c:dLblPos val="r"/>
              <c:showVal val="1"/>
            </c:dLbl>
            <c:dLbl>
              <c:idx val="1"/>
              <c:layout>
                <c:manualLayout>
                  <c:x val="-4.0412473275277833E-2"/>
                  <c:y val="-7.1282232578070578E-2"/>
                </c:manualLayout>
              </c:layout>
              <c:dLblPos val="r"/>
              <c:showVal val="1"/>
            </c:dLbl>
            <c:dLbl>
              <c:idx val="2"/>
              <c:layout>
                <c:manualLayout>
                  <c:x val="-4.8800943400062795E-2"/>
                  <c:y val="-5.2394998783191933E-2"/>
                </c:manualLayout>
              </c:layout>
              <c:dLblPos val="r"/>
              <c:showVal val="1"/>
            </c:dLbl>
            <c:dLbl>
              <c:idx val="3"/>
              <c:layout>
                <c:manualLayout>
                  <c:x val="-5.6085762458500638E-2"/>
                  <c:y val="-5.8941775135250847E-2"/>
                </c:manualLayout>
              </c:layout>
              <c:dLblPos val="r"/>
              <c:showVal val="1"/>
            </c:dLbl>
            <c:dLbl>
              <c:idx val="4"/>
              <c:layout>
                <c:manualLayout>
                  <c:x val="-6.1714888007421524E-2"/>
                  <c:y val="-5.698886120651233E-2"/>
                </c:manualLayout>
              </c:layout>
              <c:dLblPos val="r"/>
              <c:showVal val="1"/>
            </c:dLbl>
            <c:dLbl>
              <c:idx val="5"/>
              <c:layout>
                <c:manualLayout>
                  <c:x val="-7.9039133949087473E-2"/>
                  <c:y val="-6.4474540682414705E-2"/>
                </c:manualLayout>
              </c:layout>
              <c:dLblPos val="r"/>
              <c:showVal val="1"/>
            </c:dLbl>
            <c:dLbl>
              <c:idx val="6"/>
              <c:layout>
                <c:manualLayout>
                  <c:x val="-6.8520449844431924E-2"/>
                  <c:y val="-6.5322406127806473E-2"/>
                </c:manualLayout>
              </c:layout>
              <c:dLblPos val="r"/>
              <c:showVal val="1"/>
            </c:dLbl>
            <c:dLbl>
              <c:idx val="7"/>
              <c:layout>
                <c:manualLayout>
                  <c:x val="-1.7653091376822929E-3"/>
                  <c:y val="-7.5521131287160537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8"/>
              <c:layout>
                <c:manualLayout>
                  <c:x val="-0.15816709888006425"/>
                  <c:y val="3.3343832020997395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9"/>
              <c:layout>
                <c:manualLayout>
                  <c:x val="-0.14955777515800892"/>
                  <c:y val="-7.9750602603247123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0"/>
              <c:layout>
                <c:manualLayout>
                  <c:x val="-0.15088240812032494"/>
                  <c:y val="3.1522631099683944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1"/>
              <c:layout>
                <c:manualLayout>
                  <c:x val="-0.14558434267641787"/>
                  <c:y val="1.5975574481761241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2"/>
              <c:layout>
                <c:manualLayout>
                  <c:x val="-0.14414941590564381"/>
                  <c:y val="1.8473405110075523E-2"/>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dLbl>
              <c:idx val="13"/>
              <c:layout>
                <c:manualLayout>
                  <c:x val="-0.13719572266109722"/>
                  <c:y val="-0.10031646044244465"/>
                </c:manualLayout>
              </c:layout>
              <c:spPr>
                <a:noFill/>
                <a:ln w="25400">
                  <a:noFill/>
                </a:ln>
              </c:spPr>
              <c:txPr>
                <a:bodyPr/>
                <a:lstStyle/>
                <a:p>
                  <a:pPr>
                    <a:defRPr sz="1400" b="1" i="0" u="none" strike="noStrike" baseline="0">
                      <a:solidFill>
                        <a:srgbClr val="000000"/>
                      </a:solidFill>
                      <a:latin typeface="Arial"/>
                      <a:ea typeface="Arial"/>
                      <a:cs typeface="Arial"/>
                    </a:defRPr>
                  </a:pPr>
                  <a:endParaRPr lang="ru-RU"/>
                </a:p>
              </c:txPr>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СВОДНЫЙ'!$Z$3:$DU$3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СВОДНЫЙ'!$Z$8:$DU$8</c:f>
              <c:numCache>
                <c:formatCode>#,##0</c:formatCode>
                <c:ptCount val="6"/>
                <c:pt idx="0">
                  <c:v>60576</c:v>
                </c:pt>
                <c:pt idx="1">
                  <c:v>57886</c:v>
                </c:pt>
                <c:pt idx="2">
                  <c:v>55195</c:v>
                </c:pt>
                <c:pt idx="3">
                  <c:v>58101</c:v>
                </c:pt>
                <c:pt idx="4">
                  <c:v>64296</c:v>
                </c:pt>
                <c:pt idx="5">
                  <c:v>58093</c:v>
                </c:pt>
              </c:numCache>
            </c:numRef>
          </c:val>
          <c:smooth val="1"/>
        </c:ser>
        <c:dLbls>
          <c:showVal val="1"/>
        </c:dLbls>
        <c:marker val="1"/>
        <c:axId val="128576128"/>
        <c:axId val="128868736"/>
      </c:lineChart>
      <c:catAx>
        <c:axId val="128576128"/>
        <c:scaling>
          <c:orientation val="minMax"/>
        </c:scaling>
        <c:axPos val="b"/>
        <c:numFmt formatCode="@" sourceLinked="1"/>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28868736"/>
        <c:crosses val="autoZero"/>
        <c:lblAlgn val="ctr"/>
        <c:lblOffset val="100"/>
        <c:tickLblSkip val="1"/>
        <c:tickMarkSkip val="1"/>
      </c:catAx>
      <c:valAx>
        <c:axId val="128868736"/>
        <c:scaling>
          <c:orientation val="minMax"/>
          <c:max val="100000"/>
          <c:min val="0"/>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576128"/>
        <c:crosses val="autoZero"/>
        <c:crossBetween val="midCat"/>
        <c:majorUnit val="20000"/>
      </c:valAx>
      <c:spPr>
        <a:solidFill>
          <a:schemeClr val="accent1">
            <a:lumMod val="20000"/>
            <a:lumOff val="80000"/>
          </a:schemeClr>
        </a:solidFill>
        <a:ln w="12700">
          <a:solidFill>
            <a:srgbClr val="808080"/>
          </a:solidFill>
          <a:prstDash val="solid"/>
        </a:ln>
      </c:spPr>
    </c:plotArea>
    <c:plotVisOnly val="1"/>
    <c:dispBlanksAs val="zero"/>
  </c:chart>
  <c:spPr>
    <a:solidFill>
      <a:schemeClr val="tx2">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latin typeface="Times New Roman" pitchFamily="18" charset="0"/>
                <a:cs typeface="Times New Roman" pitchFamily="18" charset="0"/>
              </a:defRPr>
            </a:pPr>
            <a:r>
              <a:rPr lang="ru-RU" sz="1000" i="1">
                <a:solidFill>
                  <a:schemeClr val="tx2">
                    <a:lumMod val="75000"/>
                  </a:schemeClr>
                </a:solidFill>
                <a:latin typeface="Times New Roman" pitchFamily="18" charset="0"/>
                <a:cs typeface="Times New Roman" pitchFamily="18" charset="0"/>
              </a:rPr>
              <a:t>©2020 ООО</a:t>
            </a:r>
            <a:r>
              <a:rPr lang="ru-RU" sz="1000" i="1" baseline="0">
                <a:solidFill>
                  <a:schemeClr val="tx2">
                    <a:lumMod val="75000"/>
                  </a:schemeClr>
                </a:solidFill>
                <a:latin typeface="Times New Roman" pitchFamily="18" charset="0"/>
                <a:cs typeface="Times New Roman" pitchFamily="18" charset="0"/>
              </a:rPr>
              <a:t> "Центр "Илекта" </a:t>
            </a:r>
          </a:p>
        </c:rich>
      </c:tx>
      <c:layout>
        <c:manualLayout>
          <c:xMode val="edge"/>
          <c:yMode val="edge"/>
          <c:x val="0.62914923628930286"/>
          <c:y val="0.69037983687293469"/>
        </c:manualLayout>
      </c:layout>
    </c:title>
    <c:plotArea>
      <c:layout>
        <c:manualLayout>
          <c:layoutTarget val="inner"/>
          <c:xMode val="edge"/>
          <c:yMode val="edge"/>
          <c:x val="7.874015748031496E-2"/>
          <c:y val="3.6885245901639961E-2"/>
          <c:w val="0.85144356955380573"/>
          <c:h val="0.79650743657043344"/>
        </c:manualLayout>
      </c:layout>
      <c:lineChart>
        <c:grouping val="standard"/>
        <c:ser>
          <c:idx val="0"/>
          <c:order val="0"/>
          <c:spPr>
            <a:ln w="25400">
              <a:solidFill>
                <a:schemeClr val="tx2">
                  <a:lumMod val="75000"/>
                </a:schemeClr>
              </a:solidFill>
              <a:prstDash val="solid"/>
            </a:ln>
          </c:spPr>
          <c:marker>
            <c:symbol val="diamond"/>
            <c:size val="4"/>
            <c:spPr>
              <a:solidFill>
                <a:srgbClr val="000080"/>
              </a:solidFill>
              <a:ln>
                <a:solidFill>
                  <a:srgbClr val="000080"/>
                </a:solidFill>
                <a:prstDash val="solid"/>
              </a:ln>
            </c:spPr>
          </c:marker>
          <c:dLbls>
            <c:dLbl>
              <c:idx val="0"/>
              <c:layout>
                <c:manualLayout>
                  <c:x val="-1.7518123378967083E-2"/>
                  <c:y val="-6.0964336266886431E-2"/>
                </c:manualLayout>
              </c:layout>
              <c:dLblPos val="r"/>
              <c:showVal val="1"/>
            </c:dLbl>
            <c:dLbl>
              <c:idx val="1"/>
              <c:layout>
                <c:manualLayout>
                  <c:x val="-4.0796867604664173E-2"/>
                  <c:y val="-7.156275547523773E-2"/>
                </c:manualLayout>
              </c:layout>
              <c:dLblPos val="r"/>
              <c:showVal val="1"/>
            </c:dLbl>
            <c:dLbl>
              <c:idx val="2"/>
              <c:layout>
                <c:manualLayout>
                  <c:x val="-5.533238673034805E-2"/>
                  <c:y val="-5.9665677036272124E-2"/>
                </c:manualLayout>
              </c:layout>
              <c:dLblPos val="r"/>
              <c:showVal val="1"/>
            </c:dLbl>
            <c:dLbl>
              <c:idx val="3"/>
              <c:layout>
                <c:manualLayout>
                  <c:x val="-5.8939116217030282E-2"/>
                  <c:y val="-6.0763736500150593E-2"/>
                </c:manualLayout>
              </c:layout>
              <c:dLblPos val="r"/>
              <c:showVal val="1"/>
            </c:dLbl>
            <c:dLbl>
              <c:idx val="4"/>
              <c:layout>
                <c:manualLayout>
                  <c:x val="-5.653457252269696E-2"/>
                  <c:y val="-6.1211651822210923E-2"/>
                </c:manualLayout>
              </c:layout>
              <c:dLblPos val="r"/>
              <c:showVal val="1"/>
            </c:dLbl>
            <c:dLbl>
              <c:idx val="5"/>
              <c:layout>
                <c:manualLayout>
                  <c:x val="-3.4859429456563853E-2"/>
                  <c:y val="-6.1987435996729914E-2"/>
                </c:manualLayout>
              </c:layout>
              <c:dLblPos val="r"/>
              <c:showVal val="1"/>
            </c:dLbl>
            <c:dLbl>
              <c:idx val="6"/>
              <c:layout>
                <c:manualLayout>
                  <c:x val="-4.8010154468396384E-2"/>
                  <c:y val="-6.3698636031151903E-2"/>
                </c:manualLayout>
              </c:layout>
              <c:dLblPos val="r"/>
              <c:showVal val="1"/>
            </c:dLbl>
            <c:dLbl>
              <c:idx val="7"/>
              <c:layout>
                <c:manualLayout>
                  <c:x val="-1.9650961662579083E-2"/>
                  <c:y val="-6.9039628243190931E-2"/>
                </c:manualLayout>
              </c:layout>
              <c:dLblPos val="r"/>
              <c:showVal val="1"/>
            </c:dLbl>
            <c:dLbl>
              <c:idx val="8"/>
              <c:layout>
                <c:manualLayout>
                  <c:x val="-3.887468332899599E-2"/>
                  <c:y val="0.30665079633962894"/>
                </c:manualLayout>
              </c:layout>
              <c:dLblPos val="r"/>
              <c:showVal val="1"/>
            </c:dLbl>
            <c:dLbl>
              <c:idx val="9"/>
              <c:layout>
                <c:manualLayout>
                  <c:x val="-6.5202441194224234E-2"/>
                  <c:y val="0.23739721525738691"/>
                </c:manualLayout>
              </c:layout>
              <c:dLblPos val="r"/>
              <c:showVal val="1"/>
            </c:dLbl>
            <c:dLbl>
              <c:idx val="10"/>
              <c:layout>
                <c:manualLayout>
                  <c:x val="-8.0054780037760787E-2"/>
                  <c:y val="0.39678988968941847"/>
                </c:manualLayout>
              </c:layout>
              <c:dLblPos val="r"/>
              <c:showVal val="1"/>
            </c:dLbl>
            <c:dLbl>
              <c:idx val="11"/>
              <c:layout>
                <c:manualLayout>
                  <c:x val="-9.1628425107779896E-2"/>
                  <c:y val="0.31464570270250081"/>
                </c:manualLayout>
              </c:layout>
              <c:dLblPos val="r"/>
              <c:showVal val="1"/>
            </c:dLbl>
            <c:dLbl>
              <c:idx val="12"/>
              <c:layout>
                <c:manualLayout>
                  <c:x val="-9.0633754981240197E-2"/>
                  <c:y val="0.37153449741582339"/>
                </c:manualLayout>
              </c:layout>
              <c:dLblPos val="r"/>
              <c:showVal val="1"/>
            </c:dLbl>
            <c:dLbl>
              <c:idx val="13"/>
              <c:layout>
                <c:manualLayout>
                  <c:x val="-8.2535083671759504E-2"/>
                  <c:y val="0.20966442782664241"/>
                </c:manualLayout>
              </c:layout>
              <c:dLblPos val="r"/>
              <c:showVal val="1"/>
            </c:dLbl>
            <c:spPr>
              <a:noFill/>
              <a:ln w="25400">
                <a:noFill/>
              </a:ln>
            </c:spPr>
            <c:txPr>
              <a:bodyPr/>
              <a:lstStyle/>
              <a:p>
                <a:pPr>
                  <a:defRPr sz="1200" b="1" i="0" u="none" strike="noStrike" baseline="0">
                    <a:solidFill>
                      <a:srgbClr val="000000"/>
                    </a:solidFill>
                    <a:latin typeface="Arial"/>
                    <a:ea typeface="Arial"/>
                    <a:cs typeface="Arial"/>
                  </a:defRPr>
                </a:pPr>
                <a:endParaRPr lang="ru-RU"/>
              </a:p>
            </c:txPr>
            <c:showVal val="1"/>
          </c:dLbls>
          <c:cat>
            <c:strRef>
              <c:f>'Анализ рынка СВОДНЫЙ'!$Z$3:$DU$3</c:f>
              <c:strCache>
                <c:ptCount val="6"/>
                <c:pt idx="0">
                  <c:v>октябрь 19</c:v>
                </c:pt>
                <c:pt idx="1">
                  <c:v>ноябрь 19</c:v>
                </c:pt>
                <c:pt idx="2">
                  <c:v>декабрь 19</c:v>
                </c:pt>
                <c:pt idx="3">
                  <c:v>январь 20</c:v>
                </c:pt>
                <c:pt idx="4">
                  <c:v>февраль 20</c:v>
                </c:pt>
                <c:pt idx="5">
                  <c:v>март 20</c:v>
                </c:pt>
              </c:strCache>
            </c:strRef>
          </c:cat>
          <c:val>
            <c:numRef>
              <c:f>'Анализ рынка СВОДНЫЙ'!$Z$9:$DU$9</c:f>
              <c:numCache>
                <c:formatCode>0%</c:formatCode>
                <c:ptCount val="6"/>
                <c:pt idx="0">
                  <c:v>1.2629445260502601</c:v>
                </c:pt>
                <c:pt idx="1">
                  <c:v>1.2068609157908303</c:v>
                </c:pt>
                <c:pt idx="2">
                  <c:v>1.1507564566056541</c:v>
                </c:pt>
                <c:pt idx="3">
                  <c:v>1.2113434348264358</c:v>
                </c:pt>
                <c:pt idx="4">
                  <c:v>1.3405025298290996</c:v>
                </c:pt>
                <c:pt idx="5">
                  <c:v>1.2111766434204594</c:v>
                </c:pt>
              </c:numCache>
            </c:numRef>
          </c:val>
          <c:smooth val="1"/>
        </c:ser>
        <c:dLbls>
          <c:showVal val="1"/>
        </c:dLbls>
        <c:marker val="1"/>
        <c:axId val="128901120"/>
        <c:axId val="128902656"/>
      </c:lineChart>
      <c:catAx>
        <c:axId val="128901120"/>
        <c:scaling>
          <c:orientation val="minMax"/>
        </c:scaling>
        <c:axPos val="b"/>
        <c:numFmt formatCode="@" sourceLinked="1"/>
        <c:majorTickMark val="cross"/>
        <c:tickLblPos val="nextTo"/>
        <c:spPr>
          <a:ln w="3175">
            <a:solidFill>
              <a:srgbClr val="000000"/>
            </a:solidFill>
            <a:prstDash val="solid"/>
          </a:ln>
        </c:spPr>
        <c:txPr>
          <a:bodyPr rot="0" vert="horz"/>
          <a:lstStyle/>
          <a:p>
            <a:pPr>
              <a:defRPr sz="1100" b="0" i="0" u="none" strike="noStrike" baseline="0">
                <a:solidFill>
                  <a:srgbClr val="000000"/>
                </a:solidFill>
                <a:latin typeface="Arial"/>
                <a:ea typeface="Arial"/>
                <a:cs typeface="Arial"/>
              </a:defRPr>
            </a:pPr>
            <a:endParaRPr lang="ru-RU"/>
          </a:p>
        </c:txPr>
        <c:crossAx val="128902656"/>
        <c:crosses val="autoZero"/>
        <c:lblAlgn val="ctr"/>
        <c:lblOffset val="100"/>
        <c:tickLblSkip val="1"/>
        <c:tickMarkSkip val="1"/>
      </c:catAx>
      <c:valAx>
        <c:axId val="128902656"/>
        <c:scaling>
          <c:orientation val="minMax"/>
          <c:max val="2"/>
          <c:min val="0"/>
        </c:scaling>
        <c:axPos val="l"/>
        <c:majorGridlines>
          <c:spPr>
            <a:ln w="3175">
              <a:solidFill>
                <a:srgbClr val="000000"/>
              </a:solidFill>
              <a:prstDash val="solid"/>
            </a:ln>
          </c:spPr>
        </c:majorGridlines>
        <c:numFmt formatCode="0%" sourceLinked="1"/>
        <c:majorTickMark val="cross"/>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128901120"/>
        <c:crosses val="autoZero"/>
        <c:crossBetween val="midCat"/>
        <c:majorUnit val="0.5"/>
      </c:valAx>
      <c:spPr>
        <a:solidFill>
          <a:schemeClr val="accent3">
            <a:lumMod val="20000"/>
            <a:lumOff val="80000"/>
          </a:schemeClr>
        </a:solidFill>
        <a:ln w="12700">
          <a:solidFill>
            <a:srgbClr val="808080"/>
          </a:solidFill>
          <a:prstDash val="solid"/>
        </a:ln>
      </c:spPr>
    </c:plotArea>
    <c:plotVisOnly val="1"/>
    <c:dispBlanksAs val="gap"/>
  </c:chart>
  <c:spPr>
    <a:solidFill>
      <a:schemeClr val="accent3">
        <a:lumMod val="40000"/>
        <a:lumOff val="60000"/>
      </a:schemeClr>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i="1">
                <a:solidFill>
                  <a:schemeClr val="tx2">
                    <a:lumMod val="75000"/>
                  </a:schemeClr>
                </a:solidFill>
              </a:defRPr>
            </a:pPr>
            <a:r>
              <a:rPr lang="ru-RU" sz="1000" i="1">
                <a:solidFill>
                  <a:schemeClr val="tx2">
                    <a:lumMod val="75000"/>
                  </a:schemeClr>
                </a:solidFill>
              </a:rPr>
              <a:t>©2020 ООО</a:t>
            </a:r>
            <a:r>
              <a:rPr lang="ru-RU" sz="1000" i="1" baseline="0">
                <a:solidFill>
                  <a:schemeClr val="tx2">
                    <a:lumMod val="75000"/>
                  </a:schemeClr>
                </a:solidFill>
              </a:rPr>
              <a:t> "Центр "Илекта" </a:t>
            </a:r>
            <a:endParaRPr lang="ru-RU" sz="1000" i="1">
              <a:solidFill>
                <a:schemeClr val="tx2">
                  <a:lumMod val="75000"/>
                </a:schemeClr>
              </a:solidFill>
            </a:endParaRPr>
          </a:p>
        </c:rich>
      </c:tx>
      <c:layout>
        <c:manualLayout>
          <c:xMode val="edge"/>
          <c:yMode val="edge"/>
          <c:x val="0.61846343281163929"/>
          <c:y val="0.91200000000000003"/>
        </c:manualLayout>
      </c:layout>
    </c:title>
    <c:view3D>
      <c:perspective val="0"/>
    </c:view3D>
    <c:plotArea>
      <c:layout>
        <c:manualLayout>
          <c:layoutTarget val="inner"/>
          <c:xMode val="edge"/>
          <c:yMode val="edge"/>
          <c:x val="0.16666715988151021"/>
          <c:y val="0.352000687501346"/>
          <c:w val="0.67272926352174611"/>
          <c:h val="0.352000687501346"/>
        </c:manualLayout>
      </c:layout>
      <c:pie3DChart>
        <c:varyColors val="1"/>
        <c:ser>
          <c:idx val="0"/>
          <c:order val="0"/>
          <c:spPr>
            <a:ln w="12700">
              <a:solidFill>
                <a:srgbClr val="000000"/>
              </a:solidFill>
              <a:prstDash val="solid"/>
            </a:ln>
          </c:spPr>
          <c:explosion val="19"/>
          <c:dPt>
            <c:idx val="0"/>
            <c:spPr>
              <a:solidFill>
                <a:srgbClr val="FFFFCC"/>
              </a:solidFill>
              <a:ln w="12700">
                <a:solidFill>
                  <a:srgbClr val="000000"/>
                </a:solidFill>
                <a:prstDash val="solid"/>
              </a:ln>
            </c:spPr>
          </c:dPt>
          <c:dPt>
            <c:idx val="1"/>
            <c:spPr>
              <a:solidFill>
                <a:srgbClr val="CCFFFF"/>
              </a:solidFill>
              <a:ln w="12700">
                <a:solidFill>
                  <a:srgbClr val="000000"/>
                </a:solidFill>
                <a:prstDash val="solid"/>
              </a:ln>
            </c:spPr>
          </c:dPt>
          <c:dPt>
            <c:idx val="2"/>
            <c:spPr>
              <a:solidFill>
                <a:srgbClr val="00FF00"/>
              </a:solidFill>
              <a:ln w="12700">
                <a:solidFill>
                  <a:srgbClr val="000000"/>
                </a:solidFill>
                <a:prstDash val="solid"/>
              </a:ln>
            </c:spPr>
          </c:dPt>
          <c:dLbls>
            <c:dLbl>
              <c:idx val="0"/>
              <c:layout>
                <c:manualLayout>
                  <c:x val="-3.5188317509694422E-2"/>
                  <c:y val="-7.9008083989502056E-2"/>
                </c:manualLayout>
              </c:layout>
              <c:dLblPos val="bestFit"/>
              <c:showCatName val="1"/>
              <c:showPercent val="1"/>
            </c:dLbl>
            <c:dLbl>
              <c:idx val="1"/>
              <c:layout>
                <c:manualLayout>
                  <c:x val="2.2577776758997012E-2"/>
                  <c:y val="3.1143986971377092E-2"/>
                </c:manualLayout>
              </c:layout>
              <c:dLblPos val="bestFit"/>
              <c:showCatName val="1"/>
              <c:showPercent val="1"/>
            </c:dLbl>
            <c:numFmt formatCode="0%" sourceLinked="0"/>
            <c:spPr>
              <a:noFill/>
              <a:ln w="25400">
                <a:noFill/>
              </a:ln>
            </c:spPr>
            <c:txPr>
              <a:bodyPr/>
              <a:lstStyle/>
              <a:p>
                <a:pPr>
                  <a:defRPr sz="925" b="0" i="0" u="none" strike="noStrike" baseline="0">
                    <a:solidFill>
                      <a:srgbClr val="000000"/>
                    </a:solidFill>
                    <a:latin typeface="Times New Roman"/>
                    <a:ea typeface="Times New Roman"/>
                    <a:cs typeface="Times New Roman"/>
                  </a:defRPr>
                </a:pPr>
                <a:endParaRPr lang="ru-RU"/>
              </a:p>
            </c:txPr>
            <c:showCatName val="1"/>
            <c:showPercent val="1"/>
            <c:showLeaderLines val="1"/>
          </c:dLbls>
          <c:cat>
            <c:strRef>
              <c:f>'Анализ рынка СВОДНЫЙ'!$A$139:$A$141</c:f>
              <c:strCache>
                <c:ptCount val="3"/>
                <c:pt idx="0">
                  <c:v>Торговая</c:v>
                </c:pt>
                <c:pt idx="1">
                  <c:v>Офисная</c:v>
                </c:pt>
                <c:pt idx="2">
                  <c:v>Произ.-склад.</c:v>
                </c:pt>
              </c:strCache>
            </c:strRef>
          </c:cat>
          <c:val>
            <c:numRef>
              <c:f>'Анализ рынка СВОДНЫЙ'!$DU$139:$DU$141</c:f>
              <c:numCache>
                <c:formatCode>#,##0</c:formatCode>
                <c:ptCount val="3"/>
                <c:pt idx="0">
                  <c:v>51</c:v>
                </c:pt>
                <c:pt idx="1">
                  <c:v>51</c:v>
                </c:pt>
                <c:pt idx="2">
                  <c:v>31</c:v>
                </c:pt>
              </c:numCache>
            </c:numRef>
          </c:val>
        </c:ser>
        <c:dLbls>
          <c:showCatName val="1"/>
          <c:showPercent val="1"/>
        </c:dLbls>
      </c:pie3DChart>
      <c:spPr>
        <a:noFill/>
        <a:ln w="25400">
          <a:noFill/>
        </a:ln>
      </c:spPr>
    </c:plotArea>
    <c:plotVisOnly val="1"/>
    <c:dispBlanksAs val="zero"/>
  </c:chart>
  <c:spPr>
    <a:solidFill>
      <a:schemeClr val="bg2"/>
    </a:solidFill>
    <a:ln w="3175">
      <a:solidFill>
        <a:srgbClr val="000000"/>
      </a:solidFill>
      <a:prstDash val="solid"/>
    </a:ln>
  </c:spPr>
  <c:txPr>
    <a:bodyPr/>
    <a:lstStyle/>
    <a:p>
      <a:pPr>
        <a:defRPr sz="525" b="0" i="0" u="none" strike="noStrike" baseline="0">
          <a:solidFill>
            <a:srgbClr val="000000"/>
          </a:solidFill>
          <a:latin typeface="Times New Roman"/>
          <a:ea typeface="Times New Roman"/>
          <a:cs typeface="Times New Roman"/>
        </a:defRPr>
      </a:pPr>
      <a:endParaRPr lang="ru-RU"/>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0.38319</cdr:x>
      <cdr:y>0.70191</cdr:y>
    </cdr:from>
    <cdr:to>
      <cdr:x>0.41</cdr:x>
      <cdr:y>0.77696</cdr:y>
    </cdr:to>
    <cdr:sp macro="" textlink="">
      <cdr:nvSpPr>
        <cdr:cNvPr id="70657" name="Text Box 1025"/>
        <cdr:cNvSpPr txBox="1">
          <a:spLocks xmlns:a="http://schemas.openxmlformats.org/drawingml/2006/main" noChangeArrowheads="1"/>
        </cdr:cNvSpPr>
      </cdr:nvSpPr>
      <cdr:spPr bwMode="auto">
        <a:xfrm xmlns:a="http://schemas.openxmlformats.org/drawingml/2006/main">
          <a:off x="2233275" y="1641165"/>
          <a:ext cx="155993" cy="17515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0.75087</cdr:x>
      <cdr:y>0.60816</cdr:y>
    </cdr:from>
    <cdr:to>
      <cdr:x>0.91696</cdr:x>
      <cdr:y>1</cdr:y>
    </cdr:to>
    <cdr:sp macro="" textlink="">
      <cdr:nvSpPr>
        <cdr:cNvPr id="2" name="TextBox 1"/>
        <cdr:cNvSpPr txBox="1"/>
      </cdr:nvSpPr>
      <cdr:spPr>
        <a:xfrm xmlns:a="http://schemas.openxmlformats.org/drawingml/2006/main">
          <a:off x="4133850" y="1676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ru-RU" sz="1100"/>
        </a:p>
      </cdr:txBody>
    </cdr:sp>
  </cdr:relSizeAnchor>
</c:userShapes>
</file>

<file path=word/drawings/drawing3.xml><?xml version="1.0" encoding="utf-8"?>
<c:userShapes xmlns:c="http://schemas.openxmlformats.org/drawingml/2006/chart">
  <cdr:relSizeAnchor xmlns:cdr="http://schemas.openxmlformats.org/drawingml/2006/chartDrawing">
    <cdr:from>
      <cdr:x>0.38319</cdr:x>
      <cdr:y>0.70191</cdr:y>
    </cdr:from>
    <cdr:to>
      <cdr:x>0.41</cdr:x>
      <cdr:y>0.77696</cdr:y>
    </cdr:to>
    <cdr:sp macro="" textlink="">
      <cdr:nvSpPr>
        <cdr:cNvPr id="70657" name="Text Box 1025"/>
        <cdr:cNvSpPr txBox="1">
          <a:spLocks xmlns:a="http://schemas.openxmlformats.org/drawingml/2006/main" noChangeArrowheads="1"/>
        </cdr:cNvSpPr>
      </cdr:nvSpPr>
      <cdr:spPr bwMode="auto">
        <a:xfrm xmlns:a="http://schemas.openxmlformats.org/drawingml/2006/main">
          <a:off x="2233275" y="1641165"/>
          <a:ext cx="155993" cy="175153"/>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4.xml><?xml version="1.0" encoding="utf-8"?>
<c:userShapes xmlns:c="http://schemas.openxmlformats.org/drawingml/2006/chart">
  <cdr:relSizeAnchor xmlns:cdr="http://schemas.openxmlformats.org/drawingml/2006/chartDrawing">
    <cdr:from>
      <cdr:x>0.38246</cdr:x>
      <cdr:y>0.76248</cdr:y>
    </cdr:from>
    <cdr:to>
      <cdr:x>0.40754</cdr:x>
      <cdr:y>0.83056</cdr:y>
    </cdr:to>
    <cdr:sp macro="" textlink="">
      <cdr:nvSpPr>
        <cdr:cNvPr id="80897" name="Text Box 1025"/>
        <cdr:cNvSpPr txBox="1">
          <a:spLocks xmlns:a="http://schemas.openxmlformats.org/drawingml/2006/main" noChangeArrowheads="1"/>
        </cdr:cNvSpPr>
      </cdr:nvSpPr>
      <cdr:spPr bwMode="auto">
        <a:xfrm xmlns:a="http://schemas.openxmlformats.org/drawingml/2006/main">
          <a:off x="2221733" y="1768003"/>
          <a:ext cx="145490" cy="157572"/>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5.xml><?xml version="1.0" encoding="utf-8"?>
<c:userShapes xmlns:c="http://schemas.openxmlformats.org/drawingml/2006/chart">
  <cdr:relSizeAnchor xmlns:cdr="http://schemas.openxmlformats.org/drawingml/2006/chartDrawing">
    <cdr:from>
      <cdr:x>0.4341</cdr:x>
      <cdr:y>0.74956</cdr:y>
    </cdr:from>
    <cdr:to>
      <cdr:x>0.46336</cdr:x>
      <cdr:y>0.82131</cdr:y>
    </cdr:to>
    <cdr:sp macro="" textlink="">
      <cdr:nvSpPr>
        <cdr:cNvPr id="81921" name="Text Box 1"/>
        <cdr:cNvSpPr txBox="1">
          <a:spLocks xmlns:a="http://schemas.openxmlformats.org/drawingml/2006/main" noChangeArrowheads="1"/>
        </cdr:cNvSpPr>
      </cdr:nvSpPr>
      <cdr:spPr bwMode="auto">
        <a:xfrm xmlns:a="http://schemas.openxmlformats.org/drawingml/2006/main">
          <a:off x="2521271" y="1780921"/>
          <a:ext cx="169738" cy="1701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drawings/drawing6.xml><?xml version="1.0" encoding="utf-8"?>
<c:userShapes xmlns:c="http://schemas.openxmlformats.org/drawingml/2006/chart">
  <cdr:relSizeAnchor xmlns:cdr="http://schemas.openxmlformats.org/drawingml/2006/chartDrawing">
    <cdr:from>
      <cdr:x>0.4341</cdr:x>
      <cdr:y>0.74956</cdr:y>
    </cdr:from>
    <cdr:to>
      <cdr:x>0.46336</cdr:x>
      <cdr:y>0.82131</cdr:y>
    </cdr:to>
    <cdr:sp macro="" textlink="">
      <cdr:nvSpPr>
        <cdr:cNvPr id="81921" name="Text Box 1"/>
        <cdr:cNvSpPr txBox="1">
          <a:spLocks xmlns:a="http://schemas.openxmlformats.org/drawingml/2006/main" noChangeArrowheads="1"/>
        </cdr:cNvSpPr>
      </cdr:nvSpPr>
      <cdr:spPr bwMode="auto">
        <a:xfrm xmlns:a="http://schemas.openxmlformats.org/drawingml/2006/main">
          <a:off x="2521271" y="1780921"/>
          <a:ext cx="169738" cy="17016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a:lstStyle xmlns:a="http://schemas.openxmlformats.org/drawingml/2006/main"/>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1870</Words>
  <Characters>10660</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RePack by SPecialiST</Company>
  <LinksUpToDate>false</LinksUpToDate>
  <CharactersWithSpaces>12505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creator>Марина</dc:creator>
  <cp:lastModifiedBy>VaL</cp:lastModifiedBy>
  <cp:revision>2</cp:revision>
  <cp:lastPrinted>2017-03-10T10:50:00Z</cp:lastPrinted>
  <dcterms:created xsi:type="dcterms:W3CDTF">2020-04-09T08:23:00Z</dcterms:created>
  <dcterms:modified xsi:type="dcterms:W3CDTF">2020-04-09T08:23:00Z</dcterms:modified>
</cp:coreProperties>
</file>