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7A1" w:rsidRDefault="007917A1" w:rsidP="007917A1">
      <w:pPr>
        <w:autoSpaceDE w:val="0"/>
        <w:autoSpaceDN w:val="0"/>
        <w:adjustRightInd w:val="0"/>
        <w:spacing w:after="0" w:line="240" w:lineRule="auto"/>
        <w:rPr>
          <w:rFonts w:ascii="Times New Roman" w:hAnsi="Times New Roman" w:cs="Times New Roman"/>
          <w:sz w:val="24"/>
          <w:szCs w:val="24"/>
        </w:rPr>
      </w:pPr>
      <w:bookmarkStart w:id="0" w:name="_Hlk515357393"/>
      <w:bookmarkStart w:id="1" w:name="_GoBack"/>
      <w:bookmarkEnd w:id="1"/>
      <w:r w:rsidRPr="007917A1">
        <w:rPr>
          <w:rFonts w:ascii="Times New Roman" w:hAnsi="Times New Roman" w:cs="Times New Roman"/>
          <w:sz w:val="24"/>
          <w:szCs w:val="24"/>
        </w:rPr>
        <w:t>Опубликовано в журнале "Финансы и кредит" — 2019. — Т. 25, № 2. — С. 293 — 311</w:t>
      </w:r>
    </w:p>
    <w:p w:rsidR="007917A1" w:rsidRPr="007917A1" w:rsidRDefault="007917A1" w:rsidP="007917A1">
      <w:pPr>
        <w:autoSpaceDE w:val="0"/>
        <w:autoSpaceDN w:val="0"/>
        <w:adjustRightInd w:val="0"/>
        <w:spacing w:after="0" w:line="240" w:lineRule="auto"/>
        <w:rPr>
          <w:rFonts w:ascii="Times New Roman" w:hAnsi="Times New Roman" w:cs="Times New Roman"/>
          <w:sz w:val="24"/>
          <w:szCs w:val="24"/>
        </w:rPr>
      </w:pPr>
    </w:p>
    <w:p w:rsidR="00FC2F24" w:rsidRPr="007917A1" w:rsidRDefault="00FC2F24" w:rsidP="007917A1">
      <w:pPr>
        <w:autoSpaceDE w:val="0"/>
        <w:autoSpaceDN w:val="0"/>
        <w:adjustRightInd w:val="0"/>
        <w:spacing w:after="0" w:line="240" w:lineRule="auto"/>
        <w:rPr>
          <w:rFonts w:ascii="Times New Roman" w:hAnsi="Times New Roman" w:cs="Times New Roman"/>
          <w:sz w:val="24"/>
          <w:szCs w:val="24"/>
        </w:rPr>
      </w:pPr>
      <w:r w:rsidRPr="007917A1">
        <w:rPr>
          <w:rFonts w:ascii="Times New Roman" w:hAnsi="Times New Roman" w:cs="Times New Roman"/>
          <w:b/>
          <w:sz w:val="24"/>
          <w:szCs w:val="24"/>
          <w:lang w:val="en-US"/>
        </w:rPr>
        <w:t>JEL</w:t>
      </w:r>
      <w:r w:rsidRPr="007917A1">
        <w:rPr>
          <w:rFonts w:ascii="Times New Roman" w:hAnsi="Times New Roman" w:cs="Times New Roman"/>
          <w:b/>
          <w:sz w:val="24"/>
          <w:szCs w:val="24"/>
        </w:rPr>
        <w:t>:</w:t>
      </w:r>
      <w:r w:rsidRPr="007917A1">
        <w:rPr>
          <w:rFonts w:ascii="Times New Roman" w:hAnsi="Times New Roman" w:cs="Times New Roman"/>
          <w:sz w:val="24"/>
          <w:szCs w:val="24"/>
        </w:rPr>
        <w:t xml:space="preserve"> </w:t>
      </w:r>
      <w:r w:rsidR="003C6EE6" w:rsidRPr="007917A1">
        <w:rPr>
          <w:rFonts w:ascii="Times New Roman" w:hAnsi="Times New Roman" w:cs="Times New Roman"/>
          <w:sz w:val="24"/>
          <w:szCs w:val="24"/>
        </w:rPr>
        <w:t>G01</w:t>
      </w:r>
      <w:r w:rsidRPr="007917A1">
        <w:rPr>
          <w:rFonts w:ascii="Times New Roman" w:hAnsi="Times New Roman" w:cs="Times New Roman"/>
          <w:sz w:val="24"/>
          <w:szCs w:val="24"/>
        </w:rPr>
        <w:t xml:space="preserve">, G21, </w:t>
      </w:r>
      <w:r w:rsidR="003C6EE6" w:rsidRPr="007917A1">
        <w:rPr>
          <w:rFonts w:ascii="Times New Roman" w:hAnsi="Times New Roman" w:cs="Times New Roman"/>
          <w:sz w:val="24"/>
          <w:szCs w:val="24"/>
        </w:rPr>
        <w:t>G32</w:t>
      </w:r>
    </w:p>
    <w:p w:rsidR="002043F9" w:rsidRPr="007917A1" w:rsidRDefault="002043F9" w:rsidP="00FC2F24">
      <w:pPr>
        <w:spacing w:after="0" w:line="240" w:lineRule="auto"/>
        <w:jc w:val="both"/>
        <w:rPr>
          <w:rFonts w:ascii="Times New Roman" w:eastAsia="Times New Roman" w:hAnsi="Times New Roman" w:cs="Times New Roman"/>
          <w:b/>
          <w:caps/>
          <w:sz w:val="24"/>
          <w:szCs w:val="24"/>
          <w:lang w:eastAsia="ru-RU"/>
        </w:rPr>
      </w:pPr>
    </w:p>
    <w:p w:rsidR="002043F9" w:rsidRPr="007917A1" w:rsidRDefault="00140474" w:rsidP="00FC2F24">
      <w:pPr>
        <w:spacing w:after="0" w:line="240" w:lineRule="auto"/>
        <w:jc w:val="both"/>
        <w:rPr>
          <w:rFonts w:ascii="Times New Roman" w:eastAsia="Times New Roman" w:hAnsi="Times New Roman" w:cs="Times New Roman"/>
          <w:b/>
          <w:caps/>
          <w:sz w:val="24"/>
          <w:szCs w:val="24"/>
          <w:lang w:eastAsia="ru-RU"/>
        </w:rPr>
      </w:pPr>
      <w:r w:rsidRPr="007917A1">
        <w:rPr>
          <w:rFonts w:ascii="Times New Roman" w:eastAsia="Times New Roman" w:hAnsi="Times New Roman" w:cs="Times New Roman"/>
          <w:b/>
          <w:caps/>
          <w:sz w:val="24"/>
          <w:szCs w:val="24"/>
          <w:lang w:eastAsia="ru-RU"/>
        </w:rPr>
        <w:t xml:space="preserve">структура </w:t>
      </w:r>
      <w:r w:rsidR="003C6F62" w:rsidRPr="007917A1">
        <w:rPr>
          <w:rFonts w:ascii="Times New Roman" w:eastAsia="Times New Roman" w:hAnsi="Times New Roman" w:cs="Times New Roman"/>
          <w:b/>
          <w:caps/>
          <w:sz w:val="24"/>
          <w:szCs w:val="24"/>
          <w:lang w:eastAsia="ru-RU"/>
        </w:rPr>
        <w:t xml:space="preserve">ПОРТФЕЛЕЙ </w:t>
      </w:r>
      <w:r w:rsidR="002043F9" w:rsidRPr="007917A1">
        <w:rPr>
          <w:rFonts w:ascii="Times New Roman" w:eastAsia="Times New Roman" w:hAnsi="Times New Roman" w:cs="Times New Roman"/>
          <w:b/>
          <w:caps/>
          <w:sz w:val="24"/>
          <w:szCs w:val="24"/>
          <w:lang w:eastAsia="ru-RU"/>
        </w:rPr>
        <w:t xml:space="preserve">недвижимых активов </w:t>
      </w:r>
      <w:r w:rsidR="003C6F62" w:rsidRPr="007917A1">
        <w:rPr>
          <w:rFonts w:ascii="Times New Roman" w:eastAsia="Times New Roman" w:hAnsi="Times New Roman" w:cs="Times New Roman"/>
          <w:b/>
          <w:caps/>
          <w:sz w:val="24"/>
          <w:szCs w:val="24"/>
          <w:lang w:eastAsia="ru-RU"/>
        </w:rPr>
        <w:t>НА</w:t>
      </w:r>
      <w:r w:rsidR="002043F9" w:rsidRPr="007917A1">
        <w:rPr>
          <w:rFonts w:ascii="Times New Roman" w:eastAsia="Times New Roman" w:hAnsi="Times New Roman" w:cs="Times New Roman"/>
          <w:b/>
          <w:caps/>
          <w:sz w:val="24"/>
          <w:szCs w:val="24"/>
          <w:lang w:eastAsia="ru-RU"/>
        </w:rPr>
        <w:t xml:space="preserve"> балансе банков как фактор устойчивости банковской системы</w:t>
      </w:r>
    </w:p>
    <w:p w:rsidR="00FC2F24" w:rsidRPr="007917A1" w:rsidRDefault="00FC2F24" w:rsidP="00FC2F24">
      <w:pPr>
        <w:spacing w:after="0" w:line="240" w:lineRule="auto"/>
        <w:jc w:val="both"/>
        <w:rPr>
          <w:rFonts w:ascii="Times New Roman" w:eastAsia="Times New Roman" w:hAnsi="Times New Roman" w:cs="Times New Roman"/>
          <w:b/>
          <w:caps/>
          <w:sz w:val="24"/>
          <w:szCs w:val="24"/>
          <w:lang w:eastAsia="ru-RU"/>
        </w:rPr>
      </w:pPr>
    </w:p>
    <w:p w:rsidR="00FC2F24" w:rsidRPr="007917A1" w:rsidRDefault="003C6F62" w:rsidP="00FC2F24">
      <w:pPr>
        <w:spacing w:after="0" w:line="240" w:lineRule="auto"/>
        <w:jc w:val="both"/>
        <w:rPr>
          <w:rFonts w:ascii="Times New Roman" w:eastAsia="Times New Roman" w:hAnsi="Times New Roman" w:cs="Times New Roman"/>
          <w:b/>
          <w:caps/>
          <w:sz w:val="24"/>
          <w:szCs w:val="24"/>
          <w:lang w:val="en-US" w:eastAsia="ru-RU"/>
        </w:rPr>
      </w:pPr>
      <w:r w:rsidRPr="007917A1">
        <w:rPr>
          <w:rFonts w:ascii="Times New Roman" w:eastAsia="Times New Roman" w:hAnsi="Times New Roman" w:cs="Times New Roman"/>
          <w:b/>
          <w:caps/>
          <w:sz w:val="24"/>
          <w:szCs w:val="24"/>
          <w:lang w:val="en-US" w:eastAsia="ru-RU"/>
        </w:rPr>
        <w:t>Strusture of real estate assets portfolios on banks balance sheets as a factor of banking system stability</w:t>
      </w:r>
      <w:r w:rsidR="005D0EF8" w:rsidRPr="007917A1">
        <w:rPr>
          <w:rFonts w:ascii="Times New Roman" w:eastAsia="Times New Roman" w:hAnsi="Times New Roman" w:cs="Times New Roman"/>
          <w:b/>
          <w:caps/>
          <w:sz w:val="24"/>
          <w:szCs w:val="24"/>
          <w:lang w:val="en-US" w:eastAsia="ru-RU"/>
        </w:rPr>
        <w:t xml:space="preserve"> </w:t>
      </w:r>
    </w:p>
    <w:p w:rsidR="00FC2F24" w:rsidRPr="007917A1" w:rsidRDefault="00FC2F24" w:rsidP="00FC2F24">
      <w:pPr>
        <w:ind w:firstLine="709"/>
        <w:jc w:val="both"/>
        <w:rPr>
          <w:rFonts w:ascii="Times New Roman" w:hAnsi="Times New Roman" w:cs="Times New Roman"/>
          <w:sz w:val="28"/>
          <w:lang w:val="en-US"/>
        </w:rPr>
      </w:pPr>
    </w:p>
    <w:p w:rsidR="00FC2F24" w:rsidRPr="007917A1" w:rsidRDefault="00FC2F24" w:rsidP="00FC2F24">
      <w:pPr>
        <w:spacing w:after="0" w:line="240" w:lineRule="auto"/>
        <w:rPr>
          <w:rFonts w:ascii="Times New Roman" w:eastAsia="Times New Roman" w:hAnsi="Times New Roman" w:cs="Times New Roman"/>
          <w:b/>
          <w:sz w:val="24"/>
          <w:szCs w:val="24"/>
          <w:lang w:eastAsia="ru-RU"/>
        </w:rPr>
      </w:pPr>
      <w:r w:rsidRPr="007917A1">
        <w:rPr>
          <w:rFonts w:ascii="Times New Roman" w:eastAsia="Times New Roman" w:hAnsi="Times New Roman" w:cs="Times New Roman"/>
          <w:b/>
          <w:sz w:val="24"/>
          <w:szCs w:val="24"/>
          <w:lang w:eastAsia="ru-RU"/>
        </w:rPr>
        <w:t>Сергей Геннадьевич СТЕРНИК</w:t>
      </w:r>
    </w:p>
    <w:p w:rsidR="002043F9" w:rsidRPr="007917A1" w:rsidRDefault="002043F9" w:rsidP="00FC2F24">
      <w:pPr>
        <w:spacing w:after="0" w:line="240" w:lineRule="auto"/>
        <w:jc w:val="both"/>
        <w:rPr>
          <w:rFonts w:ascii="Times New Roman" w:eastAsia="Times New Roman" w:hAnsi="Times New Roman" w:cs="Times New Roman"/>
          <w:sz w:val="24"/>
          <w:szCs w:val="24"/>
          <w:lang w:eastAsia="ru-RU"/>
        </w:rPr>
      </w:pPr>
      <w:r w:rsidRPr="007917A1">
        <w:rPr>
          <w:rFonts w:ascii="Times New Roman" w:eastAsia="Times New Roman" w:hAnsi="Times New Roman" w:cs="Times New Roman"/>
          <w:sz w:val="24"/>
          <w:szCs w:val="24"/>
          <w:lang w:eastAsia="ru-RU"/>
        </w:rPr>
        <w:t>доктор экономических наук, профессор, ведущий научный сотрудник</w:t>
      </w:r>
      <w:r w:rsidR="00CB1D2A" w:rsidRPr="007917A1">
        <w:rPr>
          <w:rFonts w:ascii="Times New Roman" w:eastAsia="Times New Roman" w:hAnsi="Times New Roman" w:cs="Times New Roman"/>
          <w:sz w:val="24"/>
          <w:szCs w:val="24"/>
          <w:lang w:eastAsia="ru-RU"/>
        </w:rPr>
        <w:t>,</w:t>
      </w:r>
      <w:r w:rsidRPr="007917A1">
        <w:rPr>
          <w:rFonts w:ascii="Times New Roman" w:eastAsia="Times New Roman" w:hAnsi="Times New Roman" w:cs="Times New Roman"/>
          <w:sz w:val="24"/>
          <w:szCs w:val="24"/>
          <w:lang w:eastAsia="ru-RU"/>
        </w:rPr>
        <w:t xml:space="preserve"> Институт народнохозяйственного прогнозирования РАН, профессор Департамента корпоративных финансов и корпоративного управления</w:t>
      </w:r>
      <w:r w:rsidR="00CB1D2A" w:rsidRPr="007917A1">
        <w:rPr>
          <w:rFonts w:ascii="Times New Roman" w:eastAsia="Times New Roman" w:hAnsi="Times New Roman" w:cs="Times New Roman"/>
          <w:sz w:val="24"/>
          <w:szCs w:val="24"/>
          <w:lang w:eastAsia="ru-RU"/>
        </w:rPr>
        <w:t>,</w:t>
      </w:r>
      <w:r w:rsidRPr="007917A1">
        <w:rPr>
          <w:rFonts w:ascii="Times New Roman" w:eastAsia="Times New Roman" w:hAnsi="Times New Roman" w:cs="Times New Roman"/>
          <w:sz w:val="24"/>
          <w:szCs w:val="24"/>
          <w:lang w:eastAsia="ru-RU"/>
        </w:rPr>
        <w:t xml:space="preserve"> Фин</w:t>
      </w:r>
      <w:r w:rsidR="003C6F62" w:rsidRPr="007917A1">
        <w:rPr>
          <w:rFonts w:ascii="Times New Roman" w:eastAsia="Times New Roman" w:hAnsi="Times New Roman" w:cs="Times New Roman"/>
          <w:sz w:val="24"/>
          <w:szCs w:val="24"/>
          <w:lang w:eastAsia="ru-RU"/>
        </w:rPr>
        <w:t>ансов</w:t>
      </w:r>
      <w:r w:rsidR="00CB1D2A" w:rsidRPr="007917A1">
        <w:rPr>
          <w:rFonts w:ascii="Times New Roman" w:eastAsia="Times New Roman" w:hAnsi="Times New Roman" w:cs="Times New Roman"/>
          <w:sz w:val="24"/>
          <w:szCs w:val="24"/>
          <w:lang w:eastAsia="ru-RU"/>
        </w:rPr>
        <w:t>ый</w:t>
      </w:r>
      <w:r w:rsidR="003C6F62" w:rsidRPr="007917A1">
        <w:rPr>
          <w:rFonts w:ascii="Times New Roman" w:eastAsia="Times New Roman" w:hAnsi="Times New Roman" w:cs="Times New Roman"/>
          <w:sz w:val="24"/>
          <w:szCs w:val="24"/>
          <w:lang w:eastAsia="ru-RU"/>
        </w:rPr>
        <w:t xml:space="preserve"> </w:t>
      </w:r>
      <w:r w:rsidRPr="007917A1">
        <w:rPr>
          <w:rFonts w:ascii="Times New Roman" w:eastAsia="Times New Roman" w:hAnsi="Times New Roman" w:cs="Times New Roman"/>
          <w:sz w:val="24"/>
          <w:szCs w:val="24"/>
          <w:lang w:eastAsia="ru-RU"/>
        </w:rPr>
        <w:t>университет при Правительстве Р</w:t>
      </w:r>
      <w:r w:rsidR="003C6F62" w:rsidRPr="007917A1">
        <w:rPr>
          <w:rFonts w:ascii="Times New Roman" w:eastAsia="Times New Roman" w:hAnsi="Times New Roman" w:cs="Times New Roman"/>
          <w:sz w:val="24"/>
          <w:szCs w:val="24"/>
          <w:lang w:eastAsia="ru-RU"/>
        </w:rPr>
        <w:t xml:space="preserve">оссийской </w:t>
      </w:r>
      <w:r w:rsidRPr="007917A1">
        <w:rPr>
          <w:rFonts w:ascii="Times New Roman" w:eastAsia="Times New Roman" w:hAnsi="Times New Roman" w:cs="Times New Roman"/>
          <w:sz w:val="24"/>
          <w:szCs w:val="24"/>
          <w:lang w:eastAsia="ru-RU"/>
        </w:rPr>
        <w:t>Ф</w:t>
      </w:r>
      <w:r w:rsidR="003C6F62" w:rsidRPr="007917A1">
        <w:rPr>
          <w:rFonts w:ascii="Times New Roman" w:eastAsia="Times New Roman" w:hAnsi="Times New Roman" w:cs="Times New Roman"/>
          <w:sz w:val="24"/>
          <w:szCs w:val="24"/>
          <w:lang w:eastAsia="ru-RU"/>
        </w:rPr>
        <w:t>едерации, Москва, Российская Федерация</w:t>
      </w:r>
    </w:p>
    <w:p w:rsidR="00FC2F24" w:rsidRPr="007917A1" w:rsidRDefault="00786E1E" w:rsidP="00FC2F24">
      <w:pPr>
        <w:spacing w:after="0" w:line="240" w:lineRule="auto"/>
        <w:jc w:val="both"/>
        <w:rPr>
          <w:rStyle w:val="a9"/>
          <w:rFonts w:ascii="Times New Roman" w:eastAsia="Times New Roman" w:hAnsi="Times New Roman" w:cs="Times New Roman"/>
          <w:color w:val="0000FF"/>
          <w:sz w:val="24"/>
          <w:szCs w:val="24"/>
          <w:lang w:eastAsia="ru-RU"/>
        </w:rPr>
      </w:pPr>
      <w:hyperlink r:id="rId8" w:history="1">
        <w:r w:rsidR="0092146F" w:rsidRPr="007917A1">
          <w:rPr>
            <w:rStyle w:val="a9"/>
            <w:rFonts w:ascii="Times New Roman" w:eastAsia="Times New Roman" w:hAnsi="Times New Roman" w:cs="Times New Roman"/>
            <w:color w:val="0000FF"/>
            <w:sz w:val="24"/>
            <w:szCs w:val="24"/>
            <w:lang w:val="en-US" w:eastAsia="ru-RU"/>
          </w:rPr>
          <w:t>sgs</w:t>
        </w:r>
        <w:r w:rsidR="0092146F" w:rsidRPr="007917A1">
          <w:rPr>
            <w:rStyle w:val="a9"/>
            <w:rFonts w:ascii="Times New Roman" w:eastAsia="Times New Roman" w:hAnsi="Times New Roman" w:cs="Times New Roman"/>
            <w:color w:val="0000FF"/>
            <w:sz w:val="24"/>
            <w:szCs w:val="24"/>
            <w:lang w:eastAsia="ru-RU"/>
          </w:rPr>
          <w:t>728@</w:t>
        </w:r>
        <w:r w:rsidR="0092146F" w:rsidRPr="007917A1">
          <w:rPr>
            <w:rStyle w:val="a9"/>
            <w:rFonts w:ascii="Times New Roman" w:eastAsia="Times New Roman" w:hAnsi="Times New Roman" w:cs="Times New Roman"/>
            <w:color w:val="0000FF"/>
            <w:sz w:val="24"/>
            <w:szCs w:val="24"/>
            <w:lang w:val="en-US" w:eastAsia="ru-RU"/>
          </w:rPr>
          <w:t>mail</w:t>
        </w:r>
        <w:r w:rsidR="0092146F" w:rsidRPr="007917A1">
          <w:rPr>
            <w:rStyle w:val="a9"/>
            <w:rFonts w:ascii="Times New Roman" w:eastAsia="Times New Roman" w:hAnsi="Times New Roman" w:cs="Times New Roman"/>
            <w:color w:val="0000FF"/>
            <w:sz w:val="24"/>
            <w:szCs w:val="24"/>
            <w:lang w:eastAsia="ru-RU"/>
          </w:rPr>
          <w:t>.</w:t>
        </w:r>
        <w:r w:rsidR="0092146F" w:rsidRPr="007917A1">
          <w:rPr>
            <w:rStyle w:val="a9"/>
            <w:rFonts w:ascii="Times New Roman" w:eastAsia="Times New Roman" w:hAnsi="Times New Roman" w:cs="Times New Roman"/>
            <w:color w:val="0000FF"/>
            <w:sz w:val="24"/>
            <w:szCs w:val="24"/>
            <w:lang w:val="en-US" w:eastAsia="ru-RU"/>
          </w:rPr>
          <w:t>ru</w:t>
        </w:r>
      </w:hyperlink>
    </w:p>
    <w:p w:rsidR="00BC68F6" w:rsidRPr="007917A1" w:rsidRDefault="00BC68F6" w:rsidP="00BC68F6">
      <w:pPr>
        <w:pStyle w:val="af1"/>
        <w:spacing w:before="0" w:beforeAutospacing="0" w:after="0" w:afterAutospacing="0" w:line="276" w:lineRule="auto"/>
        <w:rPr>
          <w:bCs/>
          <w:lang w:eastAsia="en-US"/>
        </w:rPr>
      </w:pPr>
      <w:r w:rsidRPr="007917A1">
        <w:rPr>
          <w:bCs/>
          <w:lang w:val="en-US" w:eastAsia="en-US"/>
        </w:rPr>
        <w:t>SCOPUS</w:t>
      </w:r>
      <w:r w:rsidRPr="007917A1">
        <w:rPr>
          <w:bCs/>
          <w:lang w:eastAsia="en-US"/>
        </w:rPr>
        <w:t>-</w:t>
      </w:r>
      <w:r w:rsidRPr="007917A1">
        <w:rPr>
          <w:bCs/>
          <w:lang w:val="en-US" w:eastAsia="en-US"/>
        </w:rPr>
        <w:t>ID</w:t>
      </w:r>
      <w:r w:rsidRPr="007917A1">
        <w:rPr>
          <w:bCs/>
          <w:lang w:eastAsia="en-US"/>
        </w:rPr>
        <w:t>:</w:t>
      </w:r>
      <w:r w:rsidRPr="007917A1">
        <w:rPr>
          <w:bCs/>
          <w:lang w:eastAsia="en-US"/>
        </w:rPr>
        <w:tab/>
      </w:r>
      <w:r w:rsidR="002651BE" w:rsidRPr="007917A1">
        <w:rPr>
          <w:bCs/>
          <w:lang w:eastAsia="en-US"/>
        </w:rPr>
        <w:t>6507292791</w:t>
      </w:r>
    </w:p>
    <w:p w:rsidR="00BC68F6" w:rsidRPr="007917A1" w:rsidRDefault="00786E1E" w:rsidP="00BC68F6">
      <w:pPr>
        <w:pStyle w:val="af1"/>
        <w:spacing w:before="0" w:beforeAutospacing="0" w:after="0" w:afterAutospacing="0" w:line="276" w:lineRule="auto"/>
        <w:rPr>
          <w:b/>
          <w:bCs/>
          <w:caps/>
          <w:color w:val="0000FF"/>
          <w:lang w:val="en-US" w:eastAsia="en-US"/>
        </w:rPr>
      </w:pPr>
      <w:hyperlink r:id="rId9" w:history="1">
        <w:r w:rsidR="00BC68F6" w:rsidRPr="007917A1">
          <w:rPr>
            <w:rStyle w:val="a9"/>
            <w:bCs/>
            <w:color w:val="0000FF"/>
            <w:lang w:val="en-US" w:eastAsia="en-US"/>
          </w:rPr>
          <w:t>https://orcid.org/0000-0003-1411-1011</w:t>
        </w:r>
      </w:hyperlink>
      <w:r w:rsidR="00BC68F6" w:rsidRPr="007917A1">
        <w:rPr>
          <w:bCs/>
          <w:color w:val="0000FF"/>
          <w:lang w:val="en-US" w:eastAsia="en-US"/>
        </w:rPr>
        <w:t xml:space="preserve"> </w:t>
      </w:r>
    </w:p>
    <w:p w:rsidR="00BC68F6" w:rsidRPr="007917A1" w:rsidRDefault="00BC68F6" w:rsidP="00BC68F6">
      <w:pPr>
        <w:pStyle w:val="af1"/>
        <w:spacing w:before="0" w:beforeAutospacing="0" w:after="0" w:afterAutospacing="0" w:line="276" w:lineRule="auto"/>
        <w:rPr>
          <w:b/>
          <w:bCs/>
          <w:caps/>
          <w:lang w:val="en-US" w:eastAsia="en-US"/>
        </w:rPr>
      </w:pPr>
      <w:r w:rsidRPr="007917A1">
        <w:rPr>
          <w:bCs/>
          <w:caps/>
          <w:lang w:val="en-US" w:eastAsia="en-US"/>
        </w:rPr>
        <w:t>SPIN-</w:t>
      </w:r>
      <w:r w:rsidRPr="007917A1">
        <w:rPr>
          <w:bCs/>
          <w:lang w:eastAsia="en-US"/>
        </w:rPr>
        <w:t>код</w:t>
      </w:r>
      <w:r w:rsidRPr="007917A1">
        <w:rPr>
          <w:bCs/>
          <w:caps/>
          <w:lang w:val="en-US" w:eastAsia="en-US"/>
        </w:rPr>
        <w:t xml:space="preserve">: </w:t>
      </w:r>
      <w:r w:rsidRPr="007917A1">
        <w:rPr>
          <w:bCs/>
          <w:caps/>
          <w:lang w:val="en-US" w:eastAsia="en-US"/>
        </w:rPr>
        <w:tab/>
        <w:t>2930-4020</w:t>
      </w:r>
    </w:p>
    <w:p w:rsidR="00BC68F6" w:rsidRPr="007917A1" w:rsidRDefault="00BC68F6" w:rsidP="00BC68F6">
      <w:pPr>
        <w:pStyle w:val="af1"/>
        <w:spacing w:before="0" w:beforeAutospacing="0" w:after="0" w:afterAutospacing="0" w:line="276" w:lineRule="auto"/>
        <w:rPr>
          <w:b/>
          <w:bCs/>
          <w:caps/>
          <w:lang w:eastAsia="en-US"/>
        </w:rPr>
      </w:pPr>
      <w:r w:rsidRPr="007917A1">
        <w:rPr>
          <w:bCs/>
          <w:caps/>
          <w:lang w:val="en-US" w:eastAsia="en-US"/>
        </w:rPr>
        <w:t>AUTHORID</w:t>
      </w:r>
      <w:r w:rsidRPr="007917A1">
        <w:rPr>
          <w:bCs/>
          <w:caps/>
          <w:lang w:eastAsia="en-US"/>
        </w:rPr>
        <w:t>:</w:t>
      </w:r>
      <w:r w:rsidRPr="007917A1">
        <w:rPr>
          <w:bCs/>
          <w:caps/>
          <w:lang w:eastAsia="en-US"/>
        </w:rPr>
        <w:tab/>
        <w:t>596056</w:t>
      </w:r>
    </w:p>
    <w:p w:rsidR="00EC38C0" w:rsidRPr="007917A1" w:rsidRDefault="00EC38C0" w:rsidP="00EC38C0">
      <w:pPr>
        <w:jc w:val="center"/>
        <w:rPr>
          <w:vanish/>
        </w:rPr>
      </w:pPr>
    </w:p>
    <w:p w:rsidR="00FC2F24" w:rsidRPr="007917A1" w:rsidRDefault="00FC2F24" w:rsidP="004B41CB">
      <w:pPr>
        <w:spacing w:after="0" w:line="240" w:lineRule="auto"/>
        <w:rPr>
          <w:rFonts w:ascii="Times New Roman" w:eastAsia="Times New Roman" w:hAnsi="Times New Roman" w:cs="Times New Roman"/>
          <w:b/>
          <w:sz w:val="24"/>
          <w:szCs w:val="24"/>
          <w:lang w:eastAsia="ru-RU"/>
        </w:rPr>
      </w:pPr>
      <w:r w:rsidRPr="007917A1">
        <w:rPr>
          <w:rFonts w:ascii="Times New Roman" w:eastAsia="Times New Roman" w:hAnsi="Times New Roman" w:cs="Times New Roman"/>
          <w:b/>
          <w:sz w:val="24"/>
          <w:szCs w:val="24"/>
          <w:lang w:eastAsia="ru-RU"/>
        </w:rPr>
        <w:t>Григорий Владимирович ТЕЛЕШЕВ</w:t>
      </w:r>
    </w:p>
    <w:p w:rsidR="00FC2F24" w:rsidRPr="007917A1" w:rsidRDefault="005958B5" w:rsidP="00FC2F24">
      <w:pPr>
        <w:spacing w:after="0" w:line="240" w:lineRule="auto"/>
        <w:jc w:val="both"/>
        <w:rPr>
          <w:rFonts w:ascii="Times New Roman" w:eastAsia="Times New Roman" w:hAnsi="Times New Roman" w:cs="Times New Roman"/>
          <w:sz w:val="24"/>
          <w:szCs w:val="24"/>
          <w:lang w:eastAsia="ru-RU"/>
        </w:rPr>
      </w:pPr>
      <w:r w:rsidRPr="007917A1">
        <w:rPr>
          <w:rFonts w:ascii="Times New Roman" w:eastAsia="Times New Roman" w:hAnsi="Times New Roman" w:cs="Times New Roman"/>
          <w:sz w:val="24"/>
          <w:szCs w:val="24"/>
          <w:lang w:eastAsia="ru-RU"/>
        </w:rPr>
        <w:t>аспирант</w:t>
      </w:r>
      <w:r w:rsidR="00FC2F24" w:rsidRPr="007917A1">
        <w:rPr>
          <w:rFonts w:ascii="Times New Roman" w:eastAsia="Times New Roman" w:hAnsi="Times New Roman" w:cs="Times New Roman"/>
          <w:sz w:val="24"/>
          <w:szCs w:val="24"/>
          <w:lang w:eastAsia="ru-RU"/>
        </w:rPr>
        <w:t xml:space="preserve">, </w:t>
      </w:r>
      <w:r w:rsidRPr="007917A1">
        <w:rPr>
          <w:rFonts w:ascii="Times New Roman" w:eastAsia="Times New Roman" w:hAnsi="Times New Roman" w:cs="Times New Roman"/>
          <w:sz w:val="24"/>
          <w:szCs w:val="24"/>
          <w:lang w:eastAsia="ru-RU"/>
        </w:rPr>
        <w:t>Институт народнохозяйственного прогнозирования РАН</w:t>
      </w:r>
      <w:r w:rsidR="00FC2F24" w:rsidRPr="007917A1">
        <w:rPr>
          <w:rFonts w:ascii="Times New Roman" w:eastAsia="Times New Roman" w:hAnsi="Times New Roman" w:cs="Times New Roman"/>
          <w:sz w:val="24"/>
          <w:szCs w:val="24"/>
          <w:lang w:eastAsia="ru-RU"/>
        </w:rPr>
        <w:t>, Москва, Российская Федерация</w:t>
      </w:r>
    </w:p>
    <w:p w:rsidR="00FC2F24" w:rsidRPr="007917A1" w:rsidRDefault="0092146F" w:rsidP="00FC2F24">
      <w:pPr>
        <w:spacing w:after="0" w:line="240" w:lineRule="auto"/>
        <w:jc w:val="both"/>
        <w:rPr>
          <w:rFonts w:ascii="Times New Roman" w:eastAsia="Times New Roman" w:hAnsi="Times New Roman" w:cs="Times New Roman"/>
          <w:color w:val="0000FF"/>
          <w:sz w:val="24"/>
          <w:szCs w:val="24"/>
          <w:lang w:eastAsia="ru-RU"/>
        </w:rPr>
      </w:pPr>
      <w:proofErr w:type="spellStart"/>
      <w:r w:rsidRPr="007917A1">
        <w:rPr>
          <w:rStyle w:val="a9"/>
          <w:rFonts w:ascii="Times New Roman" w:eastAsia="Times New Roman" w:hAnsi="Times New Roman" w:cs="Times New Roman"/>
          <w:color w:val="0000FF"/>
          <w:sz w:val="24"/>
          <w:szCs w:val="24"/>
          <w:lang w:val="en-US" w:eastAsia="ru-RU"/>
        </w:rPr>
        <w:t>gteleshev</w:t>
      </w:r>
      <w:proofErr w:type="spellEnd"/>
      <w:r w:rsidRPr="007917A1">
        <w:rPr>
          <w:rStyle w:val="a9"/>
          <w:rFonts w:ascii="Times New Roman" w:eastAsia="Times New Roman" w:hAnsi="Times New Roman" w:cs="Times New Roman"/>
          <w:color w:val="0000FF"/>
          <w:sz w:val="24"/>
          <w:szCs w:val="24"/>
          <w:lang w:eastAsia="ru-RU"/>
        </w:rPr>
        <w:t>@</w:t>
      </w:r>
      <w:proofErr w:type="spellStart"/>
      <w:r w:rsidRPr="007917A1">
        <w:rPr>
          <w:rStyle w:val="a9"/>
          <w:rFonts w:ascii="Times New Roman" w:eastAsia="Times New Roman" w:hAnsi="Times New Roman" w:cs="Times New Roman"/>
          <w:color w:val="0000FF"/>
          <w:sz w:val="24"/>
          <w:szCs w:val="24"/>
          <w:lang w:val="en-US" w:eastAsia="ru-RU"/>
        </w:rPr>
        <w:t>gmail</w:t>
      </w:r>
      <w:proofErr w:type="spellEnd"/>
      <w:r w:rsidRPr="007917A1">
        <w:rPr>
          <w:rStyle w:val="a9"/>
          <w:rFonts w:ascii="Times New Roman" w:eastAsia="Times New Roman" w:hAnsi="Times New Roman" w:cs="Times New Roman"/>
          <w:color w:val="0000FF"/>
          <w:sz w:val="24"/>
          <w:szCs w:val="24"/>
          <w:lang w:eastAsia="ru-RU"/>
        </w:rPr>
        <w:t>.</w:t>
      </w:r>
      <w:r w:rsidRPr="007917A1">
        <w:rPr>
          <w:rStyle w:val="a9"/>
          <w:rFonts w:ascii="Times New Roman" w:eastAsia="Times New Roman" w:hAnsi="Times New Roman" w:cs="Times New Roman"/>
          <w:color w:val="0000FF"/>
          <w:sz w:val="24"/>
          <w:szCs w:val="24"/>
          <w:lang w:val="en-US" w:eastAsia="ru-RU"/>
        </w:rPr>
        <w:t>com</w:t>
      </w:r>
      <w:r w:rsidR="002005BF" w:rsidRPr="007917A1">
        <w:rPr>
          <w:rFonts w:ascii="Times New Roman" w:eastAsia="Times New Roman" w:hAnsi="Times New Roman" w:cs="Times New Roman"/>
          <w:color w:val="0000FF"/>
          <w:sz w:val="24"/>
          <w:szCs w:val="24"/>
          <w:lang w:eastAsia="ru-RU"/>
        </w:rPr>
        <w:t xml:space="preserve"> </w:t>
      </w:r>
    </w:p>
    <w:p w:rsidR="00BC68F6" w:rsidRPr="007917A1" w:rsidRDefault="00786E1E" w:rsidP="00BC68F6">
      <w:pPr>
        <w:spacing w:after="0" w:line="240" w:lineRule="auto"/>
        <w:jc w:val="both"/>
        <w:rPr>
          <w:rFonts w:ascii="Times New Roman" w:eastAsia="Times New Roman" w:hAnsi="Times New Roman" w:cs="Times New Roman"/>
          <w:color w:val="0000FF"/>
          <w:sz w:val="24"/>
          <w:szCs w:val="24"/>
          <w:lang w:eastAsia="ru-RU"/>
        </w:rPr>
      </w:pPr>
      <w:hyperlink r:id="rId10" w:history="1">
        <w:r w:rsidR="00BC68F6" w:rsidRPr="007917A1">
          <w:rPr>
            <w:rStyle w:val="a9"/>
            <w:rFonts w:ascii="Times New Roman" w:eastAsia="Times New Roman" w:hAnsi="Times New Roman" w:cs="Times New Roman"/>
            <w:color w:val="0000FF"/>
            <w:sz w:val="24"/>
            <w:szCs w:val="24"/>
            <w:lang w:val="en-US" w:eastAsia="ru-RU"/>
          </w:rPr>
          <w:t>https</w:t>
        </w:r>
        <w:r w:rsidR="00BC68F6" w:rsidRPr="007917A1">
          <w:rPr>
            <w:rStyle w:val="a9"/>
            <w:rFonts w:ascii="Times New Roman" w:eastAsia="Times New Roman" w:hAnsi="Times New Roman" w:cs="Times New Roman"/>
            <w:color w:val="0000FF"/>
            <w:sz w:val="24"/>
            <w:szCs w:val="24"/>
            <w:lang w:eastAsia="ru-RU"/>
          </w:rPr>
          <w:t>://</w:t>
        </w:r>
        <w:proofErr w:type="spellStart"/>
        <w:r w:rsidR="00BC68F6" w:rsidRPr="007917A1">
          <w:rPr>
            <w:rStyle w:val="a9"/>
            <w:rFonts w:ascii="Times New Roman" w:eastAsia="Times New Roman" w:hAnsi="Times New Roman" w:cs="Times New Roman"/>
            <w:color w:val="0000FF"/>
            <w:sz w:val="24"/>
            <w:szCs w:val="24"/>
            <w:lang w:val="en-US" w:eastAsia="ru-RU"/>
          </w:rPr>
          <w:t>orcid</w:t>
        </w:r>
        <w:proofErr w:type="spellEnd"/>
        <w:r w:rsidR="00BC68F6" w:rsidRPr="007917A1">
          <w:rPr>
            <w:rStyle w:val="a9"/>
            <w:rFonts w:ascii="Times New Roman" w:eastAsia="Times New Roman" w:hAnsi="Times New Roman" w:cs="Times New Roman"/>
            <w:color w:val="0000FF"/>
            <w:sz w:val="24"/>
            <w:szCs w:val="24"/>
            <w:lang w:eastAsia="ru-RU"/>
          </w:rPr>
          <w:t>.</w:t>
        </w:r>
        <w:r w:rsidR="00BC68F6" w:rsidRPr="007917A1">
          <w:rPr>
            <w:rStyle w:val="a9"/>
            <w:rFonts w:ascii="Times New Roman" w:eastAsia="Times New Roman" w:hAnsi="Times New Roman" w:cs="Times New Roman"/>
            <w:color w:val="0000FF"/>
            <w:sz w:val="24"/>
            <w:szCs w:val="24"/>
            <w:lang w:val="en-US" w:eastAsia="ru-RU"/>
          </w:rPr>
          <w:t>org</w:t>
        </w:r>
        <w:r w:rsidR="00BC68F6" w:rsidRPr="007917A1">
          <w:rPr>
            <w:rStyle w:val="a9"/>
            <w:rFonts w:ascii="Times New Roman" w:eastAsia="Times New Roman" w:hAnsi="Times New Roman" w:cs="Times New Roman"/>
            <w:color w:val="0000FF"/>
            <w:sz w:val="24"/>
            <w:szCs w:val="24"/>
            <w:lang w:eastAsia="ru-RU"/>
          </w:rPr>
          <w:t>/0000-0003-1016-6111</w:t>
        </w:r>
      </w:hyperlink>
      <w:r w:rsidR="00BC68F6" w:rsidRPr="007917A1">
        <w:rPr>
          <w:rFonts w:ascii="Times New Roman" w:eastAsia="Times New Roman" w:hAnsi="Times New Roman" w:cs="Times New Roman"/>
          <w:color w:val="0000FF"/>
          <w:sz w:val="24"/>
          <w:szCs w:val="24"/>
          <w:lang w:eastAsia="ru-RU"/>
        </w:rPr>
        <w:t xml:space="preserve"> </w:t>
      </w:r>
    </w:p>
    <w:p w:rsidR="00BC68F6" w:rsidRPr="007917A1" w:rsidRDefault="00BC68F6" w:rsidP="00BC68F6">
      <w:pPr>
        <w:spacing w:after="0" w:line="240" w:lineRule="auto"/>
        <w:jc w:val="both"/>
        <w:rPr>
          <w:rFonts w:ascii="Times New Roman" w:eastAsia="Times New Roman" w:hAnsi="Times New Roman" w:cs="Times New Roman"/>
          <w:sz w:val="24"/>
          <w:szCs w:val="24"/>
          <w:lang w:val="en-US" w:eastAsia="ru-RU"/>
        </w:rPr>
      </w:pPr>
      <w:r w:rsidRPr="007917A1">
        <w:rPr>
          <w:rFonts w:ascii="Times New Roman" w:eastAsia="Times New Roman" w:hAnsi="Times New Roman" w:cs="Times New Roman"/>
          <w:sz w:val="24"/>
          <w:szCs w:val="24"/>
          <w:lang w:val="en-US" w:eastAsia="ru-RU"/>
        </w:rPr>
        <w:t>SPIN-</w:t>
      </w:r>
      <w:r w:rsidRPr="007917A1">
        <w:rPr>
          <w:rFonts w:ascii="Times New Roman" w:eastAsia="Times New Roman" w:hAnsi="Times New Roman" w:cs="Times New Roman"/>
          <w:sz w:val="24"/>
          <w:szCs w:val="24"/>
          <w:lang w:eastAsia="ru-RU"/>
        </w:rPr>
        <w:t>код</w:t>
      </w:r>
      <w:r w:rsidRPr="007917A1">
        <w:rPr>
          <w:rFonts w:ascii="Times New Roman" w:eastAsia="Times New Roman" w:hAnsi="Times New Roman" w:cs="Times New Roman"/>
          <w:sz w:val="24"/>
          <w:szCs w:val="24"/>
          <w:lang w:val="en-US" w:eastAsia="ru-RU"/>
        </w:rPr>
        <w:t>:</w:t>
      </w:r>
      <w:r w:rsidRPr="007917A1">
        <w:rPr>
          <w:rFonts w:ascii="Times New Roman" w:eastAsia="Times New Roman" w:hAnsi="Times New Roman" w:cs="Times New Roman"/>
          <w:sz w:val="24"/>
          <w:szCs w:val="24"/>
          <w:lang w:val="en-US" w:eastAsia="ru-RU"/>
        </w:rPr>
        <w:tab/>
        <w:t>5148-6655</w:t>
      </w:r>
    </w:p>
    <w:p w:rsidR="00BC68F6" w:rsidRPr="007917A1" w:rsidRDefault="00BC68F6" w:rsidP="00BC68F6">
      <w:pPr>
        <w:spacing w:after="0" w:line="240" w:lineRule="auto"/>
        <w:jc w:val="both"/>
        <w:rPr>
          <w:rFonts w:ascii="Times New Roman" w:eastAsia="Times New Roman" w:hAnsi="Times New Roman" w:cs="Times New Roman"/>
          <w:sz w:val="24"/>
          <w:szCs w:val="24"/>
          <w:lang w:eastAsia="ru-RU"/>
        </w:rPr>
      </w:pPr>
      <w:r w:rsidRPr="007917A1">
        <w:rPr>
          <w:rFonts w:ascii="Times New Roman" w:eastAsia="Times New Roman" w:hAnsi="Times New Roman" w:cs="Times New Roman"/>
          <w:sz w:val="24"/>
          <w:szCs w:val="24"/>
          <w:lang w:val="en-US" w:eastAsia="ru-RU"/>
        </w:rPr>
        <w:t>AUTHORID</w:t>
      </w:r>
      <w:r w:rsidRPr="007917A1">
        <w:rPr>
          <w:rFonts w:ascii="Times New Roman" w:eastAsia="Times New Roman" w:hAnsi="Times New Roman" w:cs="Times New Roman"/>
          <w:sz w:val="24"/>
          <w:szCs w:val="24"/>
          <w:lang w:eastAsia="ru-RU"/>
        </w:rPr>
        <w:t>:</w:t>
      </w:r>
      <w:r w:rsidRPr="007917A1">
        <w:rPr>
          <w:rFonts w:ascii="Times New Roman" w:eastAsia="Times New Roman" w:hAnsi="Times New Roman" w:cs="Times New Roman"/>
          <w:sz w:val="24"/>
          <w:szCs w:val="24"/>
          <w:lang w:eastAsia="ru-RU"/>
        </w:rPr>
        <w:tab/>
        <w:t>999417</w:t>
      </w:r>
    </w:p>
    <w:p w:rsidR="00B3479F" w:rsidRPr="007917A1" w:rsidRDefault="00B3479F" w:rsidP="004B41CB">
      <w:pPr>
        <w:spacing w:before="120" w:after="0" w:line="240" w:lineRule="auto"/>
        <w:jc w:val="both"/>
        <w:rPr>
          <w:rFonts w:ascii="Times New Roman" w:eastAsia="Times New Roman" w:hAnsi="Times New Roman" w:cs="Times New Roman"/>
          <w:b/>
          <w:sz w:val="24"/>
          <w:szCs w:val="24"/>
          <w:lang w:eastAsia="ru-RU"/>
        </w:rPr>
      </w:pPr>
      <w:r w:rsidRPr="007917A1">
        <w:rPr>
          <w:rFonts w:ascii="Times New Roman" w:eastAsia="Times New Roman" w:hAnsi="Times New Roman" w:cs="Times New Roman"/>
          <w:b/>
          <w:sz w:val="24"/>
          <w:szCs w:val="24"/>
          <w:lang w:eastAsia="ru-RU"/>
        </w:rPr>
        <w:t>Аннотация</w:t>
      </w:r>
    </w:p>
    <w:p w:rsidR="00B3479F" w:rsidRPr="007917A1" w:rsidRDefault="00B3479F" w:rsidP="004B41CB">
      <w:pPr>
        <w:spacing w:before="120" w:after="0" w:line="240" w:lineRule="auto"/>
        <w:jc w:val="both"/>
        <w:rPr>
          <w:rFonts w:ascii="Times New Roman" w:eastAsia="Times New Roman" w:hAnsi="Times New Roman" w:cs="Times New Roman"/>
          <w:sz w:val="24"/>
          <w:szCs w:val="24"/>
          <w:lang w:eastAsia="ru-RU"/>
        </w:rPr>
      </w:pPr>
      <w:r w:rsidRPr="007917A1">
        <w:rPr>
          <w:rFonts w:ascii="Times New Roman" w:eastAsia="Times New Roman" w:hAnsi="Times New Roman" w:cs="Times New Roman"/>
          <w:b/>
          <w:sz w:val="24"/>
          <w:szCs w:val="24"/>
          <w:lang w:eastAsia="ru-RU"/>
        </w:rPr>
        <w:t>Предмет.</w:t>
      </w:r>
      <w:r w:rsidRPr="007917A1">
        <w:rPr>
          <w:rFonts w:ascii="Times New Roman" w:eastAsia="Times New Roman" w:hAnsi="Times New Roman" w:cs="Times New Roman"/>
          <w:sz w:val="24"/>
          <w:szCs w:val="24"/>
          <w:lang w:eastAsia="ru-RU"/>
        </w:rPr>
        <w:t xml:space="preserve"> </w:t>
      </w:r>
      <w:r w:rsidR="005958B5" w:rsidRPr="007917A1">
        <w:rPr>
          <w:rFonts w:ascii="Times New Roman" w:eastAsia="Times New Roman" w:hAnsi="Times New Roman" w:cs="Times New Roman"/>
          <w:sz w:val="24"/>
          <w:szCs w:val="24"/>
          <w:lang w:eastAsia="ru-RU"/>
        </w:rPr>
        <w:t xml:space="preserve">Рынки недвижимости способны оказывать существенное влияние на устойчивость банковской системы и способствовать возникновению кризисов, которые по </w:t>
      </w:r>
      <w:r w:rsidR="00A13EE8" w:rsidRPr="007917A1">
        <w:rPr>
          <w:rFonts w:ascii="Times New Roman" w:eastAsia="Times New Roman" w:hAnsi="Times New Roman" w:cs="Times New Roman"/>
          <w:sz w:val="24"/>
          <w:szCs w:val="24"/>
          <w:lang w:eastAsia="ru-RU"/>
        </w:rPr>
        <w:t xml:space="preserve">своей продолжительности и потенциальному </w:t>
      </w:r>
      <w:r w:rsidR="00F2051A" w:rsidRPr="007917A1">
        <w:rPr>
          <w:rFonts w:ascii="Times New Roman" w:eastAsia="Times New Roman" w:hAnsi="Times New Roman" w:cs="Times New Roman"/>
          <w:sz w:val="24"/>
          <w:szCs w:val="24"/>
          <w:lang w:eastAsia="ru-RU"/>
        </w:rPr>
        <w:t>объему потерь</w:t>
      </w:r>
      <w:r w:rsidR="00A13EE8" w:rsidRPr="007917A1">
        <w:rPr>
          <w:rFonts w:ascii="Times New Roman" w:eastAsia="Times New Roman" w:hAnsi="Times New Roman" w:cs="Times New Roman"/>
          <w:sz w:val="24"/>
          <w:szCs w:val="24"/>
          <w:lang w:eastAsia="ru-RU"/>
        </w:rPr>
        <w:t xml:space="preserve"> </w:t>
      </w:r>
      <w:r w:rsidR="00F2051A" w:rsidRPr="007917A1">
        <w:rPr>
          <w:rFonts w:ascii="Times New Roman" w:eastAsia="Times New Roman" w:hAnsi="Times New Roman" w:cs="Times New Roman"/>
          <w:sz w:val="24"/>
          <w:szCs w:val="24"/>
          <w:lang w:eastAsia="ru-RU"/>
        </w:rPr>
        <w:t xml:space="preserve">для национальной экономики </w:t>
      </w:r>
      <w:r w:rsidR="00A13EE8" w:rsidRPr="007917A1">
        <w:rPr>
          <w:rFonts w:ascii="Times New Roman" w:eastAsia="Times New Roman" w:hAnsi="Times New Roman" w:cs="Times New Roman"/>
          <w:sz w:val="24"/>
          <w:szCs w:val="24"/>
          <w:lang w:eastAsia="ru-RU"/>
        </w:rPr>
        <w:t xml:space="preserve">в несколько раз </w:t>
      </w:r>
      <w:r w:rsidR="00F2051A" w:rsidRPr="007917A1">
        <w:rPr>
          <w:rFonts w:ascii="Times New Roman" w:eastAsia="Times New Roman" w:hAnsi="Times New Roman" w:cs="Times New Roman"/>
          <w:sz w:val="24"/>
          <w:szCs w:val="24"/>
          <w:lang w:eastAsia="ru-RU"/>
        </w:rPr>
        <w:t>превосходят кризисы, возникающие на рынках акций.</w:t>
      </w:r>
      <w:r w:rsidR="005958B5" w:rsidRPr="007917A1">
        <w:rPr>
          <w:rFonts w:ascii="Times New Roman" w:eastAsia="Times New Roman" w:hAnsi="Times New Roman" w:cs="Times New Roman"/>
          <w:sz w:val="24"/>
          <w:szCs w:val="24"/>
          <w:lang w:eastAsia="ru-RU"/>
        </w:rPr>
        <w:t xml:space="preserve"> </w:t>
      </w:r>
      <w:r w:rsidR="00F2051A" w:rsidRPr="007917A1">
        <w:rPr>
          <w:rFonts w:ascii="Times New Roman" w:eastAsia="Times New Roman" w:hAnsi="Times New Roman" w:cs="Times New Roman"/>
          <w:sz w:val="24"/>
          <w:szCs w:val="24"/>
          <w:lang w:eastAsia="ru-RU"/>
        </w:rPr>
        <w:t>Взаимосвязь между рынками недвижимости и стабильностью финансовой системы в настоящее время в достаточной степени</w:t>
      </w:r>
      <w:r w:rsidR="005029FF" w:rsidRPr="007917A1">
        <w:rPr>
          <w:rFonts w:ascii="Times New Roman" w:eastAsia="Times New Roman" w:hAnsi="Times New Roman" w:cs="Times New Roman"/>
          <w:sz w:val="24"/>
          <w:szCs w:val="24"/>
          <w:lang w:eastAsia="ru-RU"/>
        </w:rPr>
        <w:t xml:space="preserve"> изучена в западных источниках, но</w:t>
      </w:r>
      <w:r w:rsidR="00F2051A" w:rsidRPr="007917A1">
        <w:rPr>
          <w:rFonts w:ascii="Times New Roman" w:eastAsia="Times New Roman" w:hAnsi="Times New Roman" w:cs="Times New Roman"/>
          <w:sz w:val="24"/>
          <w:szCs w:val="24"/>
          <w:lang w:eastAsia="ru-RU"/>
        </w:rPr>
        <w:t xml:space="preserve"> требует существенной проработки и изучения применительно к российскому банковскому сектору. В </w:t>
      </w:r>
      <w:r w:rsidR="005958B5" w:rsidRPr="007917A1">
        <w:rPr>
          <w:rFonts w:ascii="Times New Roman" w:eastAsia="Times New Roman" w:hAnsi="Times New Roman" w:cs="Times New Roman"/>
          <w:sz w:val="24"/>
          <w:szCs w:val="24"/>
          <w:lang w:eastAsia="ru-RU"/>
        </w:rPr>
        <w:t>данной</w:t>
      </w:r>
      <w:r w:rsidR="00A01183" w:rsidRPr="007917A1">
        <w:rPr>
          <w:rFonts w:ascii="Times New Roman" w:eastAsia="Times New Roman" w:hAnsi="Times New Roman" w:cs="Times New Roman"/>
          <w:sz w:val="24"/>
          <w:szCs w:val="24"/>
          <w:lang w:eastAsia="ru-RU"/>
        </w:rPr>
        <w:t xml:space="preserve"> стать</w:t>
      </w:r>
      <w:r w:rsidR="005958B5" w:rsidRPr="007917A1">
        <w:rPr>
          <w:rFonts w:ascii="Times New Roman" w:eastAsia="Times New Roman" w:hAnsi="Times New Roman" w:cs="Times New Roman"/>
          <w:sz w:val="24"/>
          <w:szCs w:val="24"/>
          <w:lang w:eastAsia="ru-RU"/>
        </w:rPr>
        <w:t>е</w:t>
      </w:r>
      <w:r w:rsidR="00A01183" w:rsidRPr="007917A1">
        <w:rPr>
          <w:rFonts w:ascii="Times New Roman" w:eastAsia="Times New Roman" w:hAnsi="Times New Roman" w:cs="Times New Roman"/>
          <w:sz w:val="24"/>
          <w:szCs w:val="24"/>
          <w:lang w:eastAsia="ru-RU"/>
        </w:rPr>
        <w:t xml:space="preserve"> </w:t>
      </w:r>
      <w:r w:rsidR="008E4DB6" w:rsidRPr="007917A1">
        <w:rPr>
          <w:rFonts w:ascii="Times New Roman" w:eastAsia="Times New Roman" w:hAnsi="Times New Roman" w:cs="Times New Roman"/>
          <w:sz w:val="24"/>
          <w:szCs w:val="24"/>
          <w:lang w:eastAsia="ru-RU"/>
        </w:rPr>
        <w:t>исследуе</w:t>
      </w:r>
      <w:r w:rsidR="005958B5" w:rsidRPr="007917A1">
        <w:rPr>
          <w:rFonts w:ascii="Times New Roman" w:eastAsia="Times New Roman" w:hAnsi="Times New Roman" w:cs="Times New Roman"/>
          <w:sz w:val="24"/>
          <w:szCs w:val="24"/>
          <w:lang w:eastAsia="ru-RU"/>
        </w:rPr>
        <w:t xml:space="preserve">тся </w:t>
      </w:r>
      <w:r w:rsidR="00F2051A" w:rsidRPr="007917A1">
        <w:rPr>
          <w:rFonts w:ascii="Times New Roman" w:eastAsia="Times New Roman" w:hAnsi="Times New Roman" w:cs="Times New Roman"/>
          <w:sz w:val="24"/>
          <w:szCs w:val="24"/>
          <w:lang w:eastAsia="ru-RU"/>
        </w:rPr>
        <w:t xml:space="preserve">частный аспект взаимосвязи рынков недвижимости со </w:t>
      </w:r>
      <w:proofErr w:type="gramStart"/>
      <w:r w:rsidR="00F2051A" w:rsidRPr="007917A1">
        <w:rPr>
          <w:rFonts w:ascii="Times New Roman" w:eastAsia="Times New Roman" w:hAnsi="Times New Roman" w:cs="Times New Roman"/>
          <w:sz w:val="24"/>
          <w:szCs w:val="24"/>
          <w:lang w:eastAsia="ru-RU"/>
        </w:rPr>
        <w:t>стабильностью  банковской</w:t>
      </w:r>
      <w:proofErr w:type="gramEnd"/>
      <w:r w:rsidR="00F2051A" w:rsidRPr="007917A1">
        <w:rPr>
          <w:rFonts w:ascii="Times New Roman" w:eastAsia="Times New Roman" w:hAnsi="Times New Roman" w:cs="Times New Roman"/>
          <w:sz w:val="24"/>
          <w:szCs w:val="24"/>
          <w:lang w:eastAsia="ru-RU"/>
        </w:rPr>
        <w:t xml:space="preserve"> системы, а именно взаимосвязь структуры активов недвижимости банков, находящихся на балансе банков с потенциальным убытками в случае их резкого обесценения.</w:t>
      </w:r>
    </w:p>
    <w:p w:rsidR="00B3479F" w:rsidRPr="007917A1" w:rsidRDefault="00B3479F" w:rsidP="004B41CB">
      <w:pPr>
        <w:spacing w:before="120" w:after="0" w:line="240" w:lineRule="auto"/>
        <w:jc w:val="both"/>
        <w:rPr>
          <w:rFonts w:ascii="Times New Roman" w:eastAsia="Times New Roman" w:hAnsi="Times New Roman" w:cs="Times New Roman"/>
          <w:sz w:val="24"/>
          <w:szCs w:val="24"/>
          <w:lang w:eastAsia="ru-RU"/>
        </w:rPr>
      </w:pPr>
      <w:r w:rsidRPr="007917A1">
        <w:rPr>
          <w:rFonts w:ascii="Times New Roman" w:eastAsia="Times New Roman" w:hAnsi="Times New Roman" w:cs="Times New Roman"/>
          <w:b/>
          <w:sz w:val="24"/>
          <w:szCs w:val="24"/>
          <w:lang w:eastAsia="ru-RU"/>
        </w:rPr>
        <w:t>Цели.</w:t>
      </w:r>
      <w:r w:rsidRPr="007917A1">
        <w:rPr>
          <w:rFonts w:ascii="Times New Roman" w:eastAsia="Times New Roman" w:hAnsi="Times New Roman" w:cs="Times New Roman"/>
          <w:sz w:val="24"/>
          <w:szCs w:val="24"/>
          <w:lang w:eastAsia="ru-RU"/>
        </w:rPr>
        <w:t xml:space="preserve"> Изучение </w:t>
      </w:r>
      <w:r w:rsidR="00F2051A" w:rsidRPr="007917A1">
        <w:rPr>
          <w:rFonts w:ascii="Times New Roman" w:eastAsia="Times New Roman" w:hAnsi="Times New Roman" w:cs="Times New Roman"/>
          <w:sz w:val="24"/>
          <w:szCs w:val="24"/>
          <w:lang w:eastAsia="ru-RU"/>
        </w:rPr>
        <w:t>связи между структурой активов недвижимости на балансах банков и устойчивость</w:t>
      </w:r>
      <w:r w:rsidR="001E21DB" w:rsidRPr="007917A1">
        <w:rPr>
          <w:rFonts w:ascii="Times New Roman" w:eastAsia="Times New Roman" w:hAnsi="Times New Roman" w:cs="Times New Roman"/>
          <w:sz w:val="24"/>
          <w:szCs w:val="24"/>
          <w:lang w:eastAsia="ru-RU"/>
        </w:rPr>
        <w:t>ю</w:t>
      </w:r>
      <w:r w:rsidR="00F2051A" w:rsidRPr="007917A1">
        <w:rPr>
          <w:rFonts w:ascii="Times New Roman" w:eastAsia="Times New Roman" w:hAnsi="Times New Roman" w:cs="Times New Roman"/>
          <w:sz w:val="24"/>
          <w:szCs w:val="24"/>
          <w:lang w:eastAsia="ru-RU"/>
        </w:rPr>
        <w:t xml:space="preserve"> банковской системы</w:t>
      </w:r>
      <w:r w:rsidRPr="007917A1">
        <w:rPr>
          <w:rFonts w:ascii="Times New Roman" w:eastAsia="Times New Roman" w:hAnsi="Times New Roman" w:cs="Times New Roman"/>
          <w:sz w:val="24"/>
          <w:szCs w:val="24"/>
          <w:lang w:eastAsia="ru-RU"/>
        </w:rPr>
        <w:t>.</w:t>
      </w:r>
    </w:p>
    <w:p w:rsidR="00B3479F" w:rsidRPr="007917A1" w:rsidRDefault="00B3479F" w:rsidP="004B41CB">
      <w:pPr>
        <w:spacing w:before="120" w:after="0" w:line="240" w:lineRule="auto"/>
        <w:jc w:val="both"/>
        <w:rPr>
          <w:rFonts w:ascii="Times New Roman" w:eastAsia="Times New Roman" w:hAnsi="Times New Roman" w:cs="Times New Roman"/>
          <w:sz w:val="24"/>
          <w:szCs w:val="24"/>
          <w:lang w:eastAsia="ru-RU"/>
        </w:rPr>
      </w:pPr>
      <w:r w:rsidRPr="007917A1">
        <w:rPr>
          <w:rFonts w:ascii="Times New Roman" w:eastAsia="Times New Roman" w:hAnsi="Times New Roman" w:cs="Times New Roman"/>
          <w:b/>
          <w:sz w:val="24"/>
          <w:szCs w:val="24"/>
          <w:lang w:eastAsia="ru-RU"/>
        </w:rPr>
        <w:t>Методология.</w:t>
      </w:r>
      <w:r w:rsidRPr="007917A1">
        <w:rPr>
          <w:rFonts w:ascii="Times New Roman" w:eastAsia="Times New Roman" w:hAnsi="Times New Roman" w:cs="Times New Roman"/>
          <w:sz w:val="24"/>
          <w:szCs w:val="24"/>
          <w:lang w:eastAsia="ru-RU"/>
        </w:rPr>
        <w:t xml:space="preserve"> В процессе исследования применялись методы </w:t>
      </w:r>
      <w:r w:rsidR="00D60B5A" w:rsidRPr="007917A1">
        <w:rPr>
          <w:rFonts w:ascii="Times New Roman" w:eastAsia="Times New Roman" w:hAnsi="Times New Roman" w:cs="Times New Roman"/>
          <w:sz w:val="24"/>
          <w:szCs w:val="24"/>
          <w:lang w:eastAsia="ru-RU"/>
        </w:rPr>
        <w:t>исследования</w:t>
      </w:r>
      <w:r w:rsidRPr="007917A1">
        <w:rPr>
          <w:rFonts w:ascii="Times New Roman" w:eastAsia="Times New Roman" w:hAnsi="Times New Roman" w:cs="Times New Roman"/>
          <w:sz w:val="24"/>
          <w:szCs w:val="24"/>
          <w:lang w:eastAsia="ru-RU"/>
        </w:rPr>
        <w:t xml:space="preserve"> временных рядов</w:t>
      </w:r>
      <w:r w:rsidR="00D60B5A" w:rsidRPr="007917A1">
        <w:rPr>
          <w:rFonts w:ascii="Times New Roman" w:eastAsia="Times New Roman" w:hAnsi="Times New Roman" w:cs="Times New Roman"/>
          <w:sz w:val="24"/>
          <w:szCs w:val="24"/>
          <w:lang w:eastAsia="ru-RU"/>
        </w:rPr>
        <w:t xml:space="preserve"> (стоимость активов банковской системы, стоимость недвижимых активов), методы логического анализа</w:t>
      </w:r>
      <w:r w:rsidRPr="007917A1">
        <w:rPr>
          <w:rFonts w:ascii="Times New Roman" w:eastAsia="Times New Roman" w:hAnsi="Times New Roman" w:cs="Times New Roman"/>
          <w:sz w:val="24"/>
          <w:szCs w:val="24"/>
          <w:lang w:eastAsia="ru-RU"/>
        </w:rPr>
        <w:t>.</w:t>
      </w:r>
      <w:r w:rsidR="00D60B5A" w:rsidRPr="007917A1">
        <w:rPr>
          <w:rFonts w:ascii="Times New Roman" w:eastAsia="Times New Roman" w:hAnsi="Times New Roman" w:cs="Times New Roman"/>
          <w:sz w:val="24"/>
          <w:szCs w:val="24"/>
          <w:lang w:eastAsia="ru-RU"/>
        </w:rPr>
        <w:t xml:space="preserve"> </w:t>
      </w:r>
    </w:p>
    <w:p w:rsidR="00B3479F" w:rsidRPr="007917A1" w:rsidRDefault="00B3479F" w:rsidP="004B41CB">
      <w:pPr>
        <w:spacing w:before="120" w:after="0" w:line="240" w:lineRule="auto"/>
        <w:jc w:val="both"/>
        <w:rPr>
          <w:rFonts w:ascii="Times New Roman" w:eastAsia="Times New Roman" w:hAnsi="Times New Roman" w:cs="Times New Roman"/>
          <w:sz w:val="24"/>
          <w:szCs w:val="24"/>
          <w:lang w:eastAsia="ru-RU"/>
        </w:rPr>
      </w:pPr>
      <w:r w:rsidRPr="007917A1">
        <w:rPr>
          <w:rFonts w:ascii="Times New Roman" w:eastAsia="Times New Roman" w:hAnsi="Times New Roman" w:cs="Times New Roman"/>
          <w:b/>
          <w:sz w:val="24"/>
          <w:szCs w:val="24"/>
          <w:lang w:eastAsia="ru-RU"/>
        </w:rPr>
        <w:t>Результаты.</w:t>
      </w:r>
      <w:r w:rsidRPr="007917A1">
        <w:rPr>
          <w:rFonts w:ascii="Times New Roman" w:eastAsia="Times New Roman" w:hAnsi="Times New Roman" w:cs="Times New Roman"/>
          <w:sz w:val="24"/>
          <w:szCs w:val="24"/>
          <w:lang w:eastAsia="ru-RU"/>
        </w:rPr>
        <w:t xml:space="preserve"> В ходе исследования в банковском секторе выявлен</w:t>
      </w:r>
      <w:r w:rsidR="001409B6" w:rsidRPr="007917A1">
        <w:rPr>
          <w:rFonts w:ascii="Times New Roman" w:eastAsia="Times New Roman" w:hAnsi="Times New Roman" w:cs="Times New Roman"/>
          <w:sz w:val="24"/>
          <w:szCs w:val="24"/>
          <w:lang w:eastAsia="ru-RU"/>
        </w:rPr>
        <w:t>а</w:t>
      </w:r>
      <w:r w:rsidRPr="007917A1">
        <w:rPr>
          <w:rFonts w:ascii="Times New Roman" w:eastAsia="Times New Roman" w:hAnsi="Times New Roman" w:cs="Times New Roman"/>
          <w:sz w:val="24"/>
          <w:szCs w:val="24"/>
          <w:lang w:eastAsia="ru-RU"/>
        </w:rPr>
        <w:t xml:space="preserve"> </w:t>
      </w:r>
      <w:r w:rsidR="001409B6" w:rsidRPr="007917A1">
        <w:rPr>
          <w:rFonts w:ascii="Times New Roman" w:eastAsia="Times New Roman" w:hAnsi="Times New Roman" w:cs="Times New Roman"/>
          <w:sz w:val="24"/>
          <w:szCs w:val="24"/>
          <w:lang w:eastAsia="ru-RU"/>
        </w:rPr>
        <w:t>существенная концентрация активов на балансах круп</w:t>
      </w:r>
      <w:r w:rsidR="005958B5" w:rsidRPr="007917A1">
        <w:rPr>
          <w:rFonts w:ascii="Times New Roman" w:eastAsia="Times New Roman" w:hAnsi="Times New Roman" w:cs="Times New Roman"/>
          <w:sz w:val="24"/>
          <w:szCs w:val="24"/>
          <w:lang w:eastAsia="ru-RU"/>
        </w:rPr>
        <w:t>н</w:t>
      </w:r>
      <w:r w:rsidR="001409B6" w:rsidRPr="007917A1">
        <w:rPr>
          <w:rFonts w:ascii="Times New Roman" w:eastAsia="Times New Roman" w:hAnsi="Times New Roman" w:cs="Times New Roman"/>
          <w:sz w:val="24"/>
          <w:szCs w:val="24"/>
          <w:lang w:eastAsia="ru-RU"/>
        </w:rPr>
        <w:t>ейших банков</w:t>
      </w:r>
      <w:r w:rsidRPr="007917A1">
        <w:rPr>
          <w:rFonts w:ascii="Times New Roman" w:eastAsia="Times New Roman" w:hAnsi="Times New Roman" w:cs="Times New Roman"/>
          <w:sz w:val="24"/>
          <w:szCs w:val="24"/>
          <w:lang w:eastAsia="ru-RU"/>
        </w:rPr>
        <w:t>.</w:t>
      </w:r>
      <w:r w:rsidR="005F0952" w:rsidRPr="007917A1">
        <w:rPr>
          <w:rFonts w:ascii="Times New Roman" w:eastAsia="Times New Roman" w:hAnsi="Times New Roman" w:cs="Times New Roman"/>
          <w:sz w:val="24"/>
          <w:szCs w:val="24"/>
          <w:lang w:eastAsia="ru-RU"/>
        </w:rPr>
        <w:t xml:space="preserve"> Вместе с тем отмечается, что доля активов недвижимости в общих активах российской банковской системы незначительна и </w:t>
      </w:r>
      <w:r w:rsidR="005F0952" w:rsidRPr="007917A1">
        <w:rPr>
          <w:rFonts w:ascii="Times New Roman" w:eastAsia="Times New Roman" w:hAnsi="Times New Roman" w:cs="Times New Roman"/>
          <w:sz w:val="24"/>
          <w:szCs w:val="24"/>
          <w:lang w:eastAsia="ru-RU"/>
        </w:rPr>
        <w:lastRenderedPageBreak/>
        <w:t>неспособна сама по себе вызвать полномасштабный банковский кризис даже в случае резкого обесценения портфелей недвижимости банков</w:t>
      </w:r>
      <w:r w:rsidR="001678AF" w:rsidRPr="007917A1">
        <w:rPr>
          <w:rFonts w:ascii="Times New Roman" w:eastAsia="Times New Roman" w:hAnsi="Times New Roman" w:cs="Times New Roman"/>
          <w:sz w:val="24"/>
          <w:szCs w:val="24"/>
          <w:lang w:eastAsia="ru-RU"/>
        </w:rPr>
        <w:t>.</w:t>
      </w:r>
    </w:p>
    <w:p w:rsidR="00B3479F" w:rsidRPr="007917A1" w:rsidRDefault="00B3479F" w:rsidP="004B41CB">
      <w:pPr>
        <w:spacing w:before="120" w:after="0" w:line="240" w:lineRule="auto"/>
        <w:jc w:val="both"/>
        <w:rPr>
          <w:rFonts w:ascii="Times New Roman" w:eastAsia="Times New Roman" w:hAnsi="Times New Roman" w:cs="Times New Roman"/>
          <w:sz w:val="24"/>
          <w:szCs w:val="24"/>
          <w:lang w:eastAsia="ru-RU"/>
        </w:rPr>
      </w:pPr>
      <w:r w:rsidRPr="007917A1">
        <w:rPr>
          <w:rFonts w:ascii="Times New Roman" w:eastAsia="Times New Roman" w:hAnsi="Times New Roman" w:cs="Times New Roman"/>
          <w:b/>
          <w:sz w:val="24"/>
          <w:szCs w:val="24"/>
          <w:lang w:eastAsia="ru-RU"/>
        </w:rPr>
        <w:t>Выводы.</w:t>
      </w:r>
      <w:r w:rsidRPr="007917A1">
        <w:rPr>
          <w:rFonts w:ascii="Times New Roman" w:eastAsia="Times New Roman" w:hAnsi="Times New Roman" w:cs="Times New Roman"/>
          <w:sz w:val="24"/>
          <w:szCs w:val="24"/>
          <w:lang w:eastAsia="ru-RU"/>
        </w:rPr>
        <w:t xml:space="preserve"> </w:t>
      </w:r>
      <w:r w:rsidR="00471738" w:rsidRPr="007917A1">
        <w:rPr>
          <w:rFonts w:ascii="Times New Roman" w:eastAsia="Times New Roman" w:hAnsi="Times New Roman" w:cs="Times New Roman"/>
          <w:sz w:val="24"/>
          <w:szCs w:val="24"/>
          <w:lang w:eastAsia="ru-RU"/>
        </w:rPr>
        <w:t>Сделаны выводы об относительно невысокой доле активов недвижимости в общих активах банковской системы и</w:t>
      </w:r>
      <w:r w:rsidR="00991E97" w:rsidRPr="007917A1">
        <w:rPr>
          <w:rFonts w:ascii="Times New Roman" w:eastAsia="Times New Roman" w:hAnsi="Times New Roman" w:cs="Times New Roman"/>
          <w:sz w:val="24"/>
          <w:szCs w:val="24"/>
          <w:lang w:eastAsia="ru-RU"/>
        </w:rPr>
        <w:t>, как следствие,</w:t>
      </w:r>
      <w:r w:rsidR="00471738" w:rsidRPr="007917A1">
        <w:rPr>
          <w:rFonts w:ascii="Times New Roman" w:eastAsia="Times New Roman" w:hAnsi="Times New Roman" w:cs="Times New Roman"/>
          <w:sz w:val="24"/>
          <w:szCs w:val="24"/>
          <w:lang w:eastAsia="ru-RU"/>
        </w:rPr>
        <w:t xml:space="preserve"> </w:t>
      </w:r>
      <w:r w:rsidR="00991E97" w:rsidRPr="007917A1">
        <w:rPr>
          <w:rFonts w:ascii="Times New Roman" w:eastAsia="Times New Roman" w:hAnsi="Times New Roman" w:cs="Times New Roman"/>
          <w:sz w:val="24"/>
          <w:szCs w:val="24"/>
          <w:lang w:eastAsia="ru-RU"/>
        </w:rPr>
        <w:t>малой вероятности банковского кризиса</w:t>
      </w:r>
      <w:r w:rsidR="00471738" w:rsidRPr="007917A1">
        <w:rPr>
          <w:rFonts w:ascii="Times New Roman" w:eastAsia="Times New Roman" w:hAnsi="Times New Roman" w:cs="Times New Roman"/>
          <w:sz w:val="24"/>
          <w:szCs w:val="24"/>
          <w:lang w:eastAsia="ru-RU"/>
        </w:rPr>
        <w:t xml:space="preserve"> </w:t>
      </w:r>
      <w:r w:rsidR="000E2283" w:rsidRPr="007917A1">
        <w:rPr>
          <w:rFonts w:ascii="Times New Roman" w:eastAsia="Times New Roman" w:hAnsi="Times New Roman" w:cs="Times New Roman"/>
          <w:sz w:val="24"/>
          <w:szCs w:val="24"/>
          <w:lang w:eastAsia="ru-RU"/>
        </w:rPr>
        <w:t xml:space="preserve">только </w:t>
      </w:r>
      <w:r w:rsidR="00991E97" w:rsidRPr="007917A1">
        <w:rPr>
          <w:rFonts w:ascii="Times New Roman" w:eastAsia="Times New Roman" w:hAnsi="Times New Roman" w:cs="Times New Roman"/>
          <w:sz w:val="24"/>
          <w:szCs w:val="24"/>
          <w:lang w:eastAsia="ru-RU"/>
        </w:rPr>
        <w:t>вследствие их резкого</w:t>
      </w:r>
      <w:r w:rsidR="00471738" w:rsidRPr="007917A1">
        <w:rPr>
          <w:rFonts w:ascii="Times New Roman" w:eastAsia="Times New Roman" w:hAnsi="Times New Roman" w:cs="Times New Roman"/>
          <w:sz w:val="24"/>
          <w:szCs w:val="24"/>
          <w:lang w:eastAsia="ru-RU"/>
        </w:rPr>
        <w:t xml:space="preserve"> обесценени</w:t>
      </w:r>
      <w:r w:rsidR="000E2283" w:rsidRPr="007917A1">
        <w:rPr>
          <w:rFonts w:ascii="Times New Roman" w:eastAsia="Times New Roman" w:hAnsi="Times New Roman" w:cs="Times New Roman"/>
          <w:sz w:val="24"/>
          <w:szCs w:val="24"/>
          <w:lang w:eastAsia="ru-RU"/>
        </w:rPr>
        <w:t>я</w:t>
      </w:r>
      <w:r w:rsidR="00471738" w:rsidRPr="007917A1">
        <w:rPr>
          <w:rFonts w:ascii="Times New Roman" w:eastAsia="Times New Roman" w:hAnsi="Times New Roman" w:cs="Times New Roman"/>
          <w:sz w:val="24"/>
          <w:szCs w:val="24"/>
          <w:lang w:eastAsia="ru-RU"/>
        </w:rPr>
        <w:t xml:space="preserve">. Вместе с тем, </w:t>
      </w:r>
      <w:r w:rsidR="00F70DFF" w:rsidRPr="007917A1">
        <w:rPr>
          <w:rFonts w:ascii="Times New Roman" w:eastAsia="Times New Roman" w:hAnsi="Times New Roman" w:cs="Times New Roman"/>
          <w:sz w:val="24"/>
          <w:szCs w:val="24"/>
          <w:lang w:eastAsia="ru-RU"/>
        </w:rPr>
        <w:t>учитывая</w:t>
      </w:r>
      <w:r w:rsidR="000E2283" w:rsidRPr="007917A1">
        <w:rPr>
          <w:rFonts w:ascii="Times New Roman" w:eastAsia="Times New Roman" w:hAnsi="Times New Roman" w:cs="Times New Roman"/>
          <w:sz w:val="24"/>
          <w:szCs w:val="24"/>
          <w:lang w:eastAsia="ru-RU"/>
        </w:rPr>
        <w:t xml:space="preserve"> </w:t>
      </w:r>
      <w:r w:rsidR="00471738" w:rsidRPr="007917A1">
        <w:rPr>
          <w:rFonts w:ascii="Times New Roman" w:eastAsia="Times New Roman" w:hAnsi="Times New Roman" w:cs="Times New Roman"/>
          <w:sz w:val="24"/>
          <w:szCs w:val="24"/>
          <w:lang w:eastAsia="ru-RU"/>
        </w:rPr>
        <w:t xml:space="preserve">потенциал роста портфелей недвижимости на балансах банков и их доли в активах </w:t>
      </w:r>
      <w:r w:rsidR="00991E97" w:rsidRPr="007917A1">
        <w:rPr>
          <w:rFonts w:ascii="Times New Roman" w:eastAsia="Times New Roman" w:hAnsi="Times New Roman" w:cs="Times New Roman"/>
          <w:sz w:val="24"/>
          <w:szCs w:val="24"/>
          <w:lang w:eastAsia="ru-RU"/>
        </w:rPr>
        <w:t xml:space="preserve">банковской системы, а также </w:t>
      </w:r>
      <w:r w:rsidR="00275672" w:rsidRPr="007917A1">
        <w:rPr>
          <w:rFonts w:ascii="Times New Roman" w:eastAsia="Times New Roman" w:hAnsi="Times New Roman" w:cs="Times New Roman"/>
          <w:sz w:val="24"/>
          <w:szCs w:val="24"/>
          <w:lang w:eastAsia="ru-RU"/>
        </w:rPr>
        <w:t xml:space="preserve">наличие </w:t>
      </w:r>
      <w:r w:rsidR="00991E97" w:rsidRPr="007917A1">
        <w:rPr>
          <w:rFonts w:ascii="Times New Roman" w:eastAsia="Times New Roman" w:hAnsi="Times New Roman" w:cs="Times New Roman"/>
          <w:sz w:val="24"/>
          <w:szCs w:val="24"/>
          <w:lang w:eastAsia="ru-RU"/>
        </w:rPr>
        <w:t>существенны</w:t>
      </w:r>
      <w:r w:rsidR="00275672" w:rsidRPr="007917A1">
        <w:rPr>
          <w:rFonts w:ascii="Times New Roman" w:eastAsia="Times New Roman" w:hAnsi="Times New Roman" w:cs="Times New Roman"/>
          <w:sz w:val="24"/>
          <w:szCs w:val="24"/>
          <w:lang w:eastAsia="ru-RU"/>
        </w:rPr>
        <w:t>х</w:t>
      </w:r>
      <w:r w:rsidR="00991E97" w:rsidRPr="007917A1">
        <w:rPr>
          <w:rFonts w:ascii="Times New Roman" w:eastAsia="Times New Roman" w:hAnsi="Times New Roman" w:cs="Times New Roman"/>
          <w:sz w:val="24"/>
          <w:szCs w:val="24"/>
          <w:lang w:eastAsia="ru-RU"/>
        </w:rPr>
        <w:t xml:space="preserve"> различи</w:t>
      </w:r>
      <w:r w:rsidR="00275672" w:rsidRPr="007917A1">
        <w:rPr>
          <w:rFonts w:ascii="Times New Roman" w:eastAsia="Times New Roman" w:hAnsi="Times New Roman" w:cs="Times New Roman"/>
          <w:sz w:val="24"/>
          <w:szCs w:val="24"/>
          <w:lang w:eastAsia="ru-RU"/>
        </w:rPr>
        <w:t>й</w:t>
      </w:r>
      <w:r w:rsidR="00991E97" w:rsidRPr="007917A1">
        <w:rPr>
          <w:rFonts w:ascii="Times New Roman" w:eastAsia="Times New Roman" w:hAnsi="Times New Roman" w:cs="Times New Roman"/>
          <w:sz w:val="24"/>
          <w:szCs w:val="24"/>
          <w:lang w:eastAsia="ru-RU"/>
        </w:rPr>
        <w:t xml:space="preserve"> в структуре портфелей недвижимости крупнейших системно-значимых банков</w:t>
      </w:r>
      <w:r w:rsidR="00F70DFF" w:rsidRPr="007917A1">
        <w:rPr>
          <w:rFonts w:ascii="Times New Roman" w:eastAsia="Times New Roman" w:hAnsi="Times New Roman" w:cs="Times New Roman"/>
          <w:sz w:val="24"/>
          <w:szCs w:val="24"/>
          <w:lang w:eastAsia="ru-RU"/>
        </w:rPr>
        <w:t xml:space="preserve">, </w:t>
      </w:r>
      <w:r w:rsidR="00275672" w:rsidRPr="007917A1">
        <w:rPr>
          <w:rFonts w:ascii="Times New Roman" w:eastAsia="Times New Roman" w:hAnsi="Times New Roman" w:cs="Times New Roman"/>
          <w:sz w:val="24"/>
          <w:szCs w:val="24"/>
          <w:lang w:eastAsia="ru-RU"/>
        </w:rPr>
        <w:t>существует</w:t>
      </w:r>
      <w:r w:rsidR="00F70DFF" w:rsidRPr="007917A1">
        <w:rPr>
          <w:rFonts w:ascii="Times New Roman" w:eastAsia="Times New Roman" w:hAnsi="Times New Roman" w:cs="Times New Roman"/>
          <w:sz w:val="24"/>
          <w:szCs w:val="24"/>
          <w:lang w:eastAsia="ru-RU"/>
        </w:rPr>
        <w:t xml:space="preserve"> необходимост</w:t>
      </w:r>
      <w:r w:rsidR="00275672" w:rsidRPr="007917A1">
        <w:rPr>
          <w:rFonts w:ascii="Times New Roman" w:eastAsia="Times New Roman" w:hAnsi="Times New Roman" w:cs="Times New Roman"/>
          <w:sz w:val="24"/>
          <w:szCs w:val="24"/>
          <w:lang w:eastAsia="ru-RU"/>
        </w:rPr>
        <w:t>ь</w:t>
      </w:r>
      <w:r w:rsidR="00F70DFF" w:rsidRPr="007917A1">
        <w:rPr>
          <w:rFonts w:ascii="Times New Roman" w:eastAsia="Times New Roman" w:hAnsi="Times New Roman" w:cs="Times New Roman"/>
          <w:sz w:val="24"/>
          <w:szCs w:val="24"/>
          <w:lang w:eastAsia="ru-RU"/>
        </w:rPr>
        <w:t xml:space="preserve"> формирования </w:t>
      </w:r>
      <w:r w:rsidR="00D77876" w:rsidRPr="007917A1">
        <w:rPr>
          <w:rFonts w:ascii="Times New Roman" w:eastAsia="Times New Roman" w:hAnsi="Times New Roman" w:cs="Times New Roman"/>
          <w:sz w:val="24"/>
          <w:szCs w:val="24"/>
          <w:lang w:eastAsia="ru-RU"/>
        </w:rPr>
        <w:t xml:space="preserve">единообразной </w:t>
      </w:r>
      <w:r w:rsidR="00F70DFF" w:rsidRPr="007917A1">
        <w:rPr>
          <w:rFonts w:ascii="Times New Roman" w:eastAsia="Times New Roman" w:hAnsi="Times New Roman" w:cs="Times New Roman"/>
          <w:sz w:val="24"/>
          <w:szCs w:val="24"/>
          <w:lang w:eastAsia="ru-RU"/>
        </w:rPr>
        <w:t>комплексной системы показателей стоимостного управления портфелями недвижимости банков</w:t>
      </w:r>
      <w:r w:rsidR="009118A6" w:rsidRPr="007917A1">
        <w:rPr>
          <w:rFonts w:ascii="Times New Roman" w:eastAsia="Times New Roman" w:hAnsi="Times New Roman" w:cs="Times New Roman"/>
          <w:sz w:val="24"/>
          <w:szCs w:val="24"/>
          <w:lang w:eastAsia="ru-RU"/>
        </w:rPr>
        <w:t>,</w:t>
      </w:r>
      <w:r w:rsidR="00F70DFF" w:rsidRPr="007917A1">
        <w:rPr>
          <w:rFonts w:ascii="Times New Roman" w:eastAsia="Times New Roman" w:hAnsi="Times New Roman" w:cs="Times New Roman"/>
          <w:sz w:val="24"/>
          <w:szCs w:val="24"/>
          <w:lang w:eastAsia="ru-RU"/>
        </w:rPr>
        <w:t xml:space="preserve"> </w:t>
      </w:r>
      <w:r w:rsidR="00275672" w:rsidRPr="007917A1">
        <w:rPr>
          <w:rFonts w:ascii="Times New Roman" w:eastAsia="Times New Roman" w:hAnsi="Times New Roman" w:cs="Times New Roman"/>
          <w:sz w:val="24"/>
          <w:szCs w:val="24"/>
          <w:lang w:eastAsia="ru-RU"/>
        </w:rPr>
        <w:t>адаптированной с учетом непрофильного характера управления недвижимостью для банковского сектора</w:t>
      </w:r>
      <w:r w:rsidR="006D7360" w:rsidRPr="007917A1">
        <w:rPr>
          <w:rFonts w:ascii="Times New Roman" w:eastAsia="Times New Roman" w:hAnsi="Times New Roman" w:cs="Times New Roman"/>
          <w:sz w:val="24"/>
          <w:szCs w:val="24"/>
          <w:lang w:eastAsia="ru-RU"/>
        </w:rPr>
        <w:t xml:space="preserve"> и особенностей российского рынка недвижимости</w:t>
      </w:r>
      <w:r w:rsidR="00471738" w:rsidRPr="007917A1">
        <w:rPr>
          <w:rFonts w:ascii="Times New Roman" w:eastAsia="Times New Roman" w:hAnsi="Times New Roman" w:cs="Times New Roman"/>
          <w:sz w:val="24"/>
          <w:szCs w:val="24"/>
          <w:lang w:eastAsia="ru-RU"/>
        </w:rPr>
        <w:t>.</w:t>
      </w:r>
      <w:r w:rsidR="000E2283" w:rsidRPr="007917A1">
        <w:rPr>
          <w:rFonts w:ascii="Times New Roman" w:eastAsia="Times New Roman" w:hAnsi="Times New Roman" w:cs="Times New Roman"/>
          <w:sz w:val="24"/>
          <w:szCs w:val="24"/>
          <w:lang w:eastAsia="ru-RU"/>
        </w:rPr>
        <w:t xml:space="preserve"> </w:t>
      </w:r>
    </w:p>
    <w:p w:rsidR="00B3479F" w:rsidRPr="007917A1" w:rsidRDefault="00B3479F" w:rsidP="004B41CB">
      <w:pPr>
        <w:spacing w:before="120" w:after="0" w:line="240" w:lineRule="auto"/>
        <w:jc w:val="both"/>
        <w:rPr>
          <w:rFonts w:ascii="Times New Roman" w:eastAsia="Times New Roman" w:hAnsi="Times New Roman" w:cs="Times New Roman"/>
          <w:sz w:val="24"/>
          <w:szCs w:val="24"/>
          <w:lang w:eastAsia="ru-RU"/>
        </w:rPr>
      </w:pPr>
      <w:r w:rsidRPr="007917A1">
        <w:rPr>
          <w:rFonts w:ascii="Times New Roman" w:eastAsia="Times New Roman" w:hAnsi="Times New Roman" w:cs="Times New Roman"/>
          <w:b/>
          <w:sz w:val="24"/>
          <w:szCs w:val="24"/>
          <w:lang w:eastAsia="ru-RU"/>
        </w:rPr>
        <w:t>Ключевые слова:</w:t>
      </w:r>
      <w:r w:rsidRPr="007917A1">
        <w:rPr>
          <w:rFonts w:ascii="Times New Roman" w:eastAsia="Times New Roman" w:hAnsi="Times New Roman" w:cs="Times New Roman"/>
          <w:sz w:val="24"/>
          <w:szCs w:val="24"/>
          <w:lang w:eastAsia="ru-RU"/>
        </w:rPr>
        <w:t xml:space="preserve"> </w:t>
      </w:r>
      <w:r w:rsidR="001409B6" w:rsidRPr="007917A1">
        <w:rPr>
          <w:rFonts w:ascii="Times New Roman" w:eastAsia="Times New Roman" w:hAnsi="Times New Roman" w:cs="Times New Roman"/>
          <w:sz w:val="24"/>
          <w:szCs w:val="24"/>
          <w:lang w:eastAsia="ru-RU"/>
        </w:rPr>
        <w:t>недвижимость</w:t>
      </w:r>
      <w:r w:rsidRPr="007917A1">
        <w:rPr>
          <w:rFonts w:ascii="Times New Roman" w:eastAsia="Times New Roman" w:hAnsi="Times New Roman" w:cs="Times New Roman"/>
          <w:sz w:val="24"/>
          <w:szCs w:val="24"/>
          <w:lang w:eastAsia="ru-RU"/>
        </w:rPr>
        <w:t xml:space="preserve">, </w:t>
      </w:r>
      <w:r w:rsidR="001409B6" w:rsidRPr="007917A1">
        <w:rPr>
          <w:rFonts w:ascii="Times New Roman" w:eastAsia="Times New Roman" w:hAnsi="Times New Roman" w:cs="Times New Roman"/>
          <w:sz w:val="24"/>
          <w:szCs w:val="24"/>
          <w:lang w:eastAsia="ru-RU"/>
        </w:rPr>
        <w:t>риски изменения стоимости недвижимости</w:t>
      </w:r>
      <w:r w:rsidRPr="007917A1">
        <w:rPr>
          <w:rFonts w:ascii="Times New Roman" w:eastAsia="Times New Roman" w:hAnsi="Times New Roman" w:cs="Times New Roman"/>
          <w:sz w:val="24"/>
          <w:szCs w:val="24"/>
          <w:lang w:eastAsia="ru-RU"/>
        </w:rPr>
        <w:t>, системно значимые банки</w:t>
      </w:r>
    </w:p>
    <w:p w:rsidR="00B3479F" w:rsidRPr="007917A1" w:rsidRDefault="00B3479F" w:rsidP="004B41CB">
      <w:pPr>
        <w:spacing w:before="120" w:after="0" w:line="240" w:lineRule="auto"/>
        <w:jc w:val="both"/>
        <w:rPr>
          <w:rFonts w:ascii="Times New Roman" w:eastAsia="Times New Roman" w:hAnsi="Times New Roman" w:cs="Times New Roman"/>
          <w:b/>
          <w:sz w:val="24"/>
          <w:szCs w:val="24"/>
          <w:lang w:val="en-US" w:eastAsia="ru-RU"/>
        </w:rPr>
      </w:pPr>
      <w:r w:rsidRPr="007917A1">
        <w:rPr>
          <w:rFonts w:ascii="Times New Roman" w:eastAsia="Times New Roman" w:hAnsi="Times New Roman" w:cs="Times New Roman"/>
          <w:b/>
          <w:sz w:val="24"/>
          <w:szCs w:val="24"/>
          <w:lang w:val="en-US" w:eastAsia="ru-RU"/>
        </w:rPr>
        <w:t>Abstract</w:t>
      </w:r>
    </w:p>
    <w:p w:rsidR="00B3479F" w:rsidRPr="007917A1" w:rsidRDefault="00B3479F" w:rsidP="004B41CB">
      <w:pPr>
        <w:spacing w:before="120" w:after="0" w:line="240" w:lineRule="auto"/>
        <w:jc w:val="both"/>
        <w:rPr>
          <w:rFonts w:ascii="Times New Roman" w:eastAsia="Times New Roman" w:hAnsi="Times New Roman" w:cs="Times New Roman"/>
          <w:sz w:val="24"/>
          <w:szCs w:val="24"/>
          <w:lang w:val="en-US" w:eastAsia="ru-RU"/>
        </w:rPr>
      </w:pPr>
      <w:r w:rsidRPr="007917A1">
        <w:rPr>
          <w:rFonts w:ascii="Times New Roman" w:eastAsia="Times New Roman" w:hAnsi="Times New Roman" w:cs="Times New Roman"/>
          <w:b/>
          <w:sz w:val="24"/>
          <w:szCs w:val="24"/>
          <w:lang w:val="en-US" w:eastAsia="ru-RU"/>
        </w:rPr>
        <w:t>Importance</w:t>
      </w:r>
      <w:r w:rsidRPr="007917A1">
        <w:rPr>
          <w:rFonts w:ascii="Times New Roman" w:eastAsia="Times New Roman" w:hAnsi="Times New Roman" w:cs="Times New Roman"/>
          <w:sz w:val="24"/>
          <w:szCs w:val="24"/>
          <w:lang w:val="en-US" w:eastAsia="ru-RU"/>
        </w:rPr>
        <w:t xml:space="preserve"> </w:t>
      </w:r>
      <w:r w:rsidR="009118A6" w:rsidRPr="007917A1">
        <w:rPr>
          <w:rFonts w:ascii="Times New Roman" w:eastAsia="Times New Roman" w:hAnsi="Times New Roman" w:cs="Times New Roman"/>
          <w:sz w:val="24"/>
          <w:szCs w:val="24"/>
          <w:lang w:val="en-US" w:eastAsia="ru-RU"/>
        </w:rPr>
        <w:t xml:space="preserve">Real estate markets may significantly impact banking sector stability and cause </w:t>
      </w:r>
      <w:r w:rsidR="001678AF" w:rsidRPr="007917A1">
        <w:rPr>
          <w:rFonts w:ascii="Times New Roman" w:eastAsia="Times New Roman" w:hAnsi="Times New Roman" w:cs="Times New Roman"/>
          <w:sz w:val="24"/>
          <w:szCs w:val="24"/>
          <w:lang w:val="en-US" w:eastAsia="ru-RU"/>
        </w:rPr>
        <w:t xml:space="preserve">banking </w:t>
      </w:r>
      <w:r w:rsidR="009118A6" w:rsidRPr="007917A1">
        <w:rPr>
          <w:rFonts w:ascii="Times New Roman" w:eastAsia="Times New Roman" w:hAnsi="Times New Roman" w:cs="Times New Roman"/>
          <w:sz w:val="24"/>
          <w:szCs w:val="24"/>
          <w:lang w:val="en-US" w:eastAsia="ru-RU"/>
        </w:rPr>
        <w:t xml:space="preserve">crises, which are several times more prolonged and carry </w:t>
      </w:r>
      <w:r w:rsidR="005029FF" w:rsidRPr="007917A1">
        <w:rPr>
          <w:rFonts w:ascii="Times New Roman" w:eastAsia="Times New Roman" w:hAnsi="Times New Roman" w:cs="Times New Roman"/>
          <w:sz w:val="24"/>
          <w:szCs w:val="24"/>
          <w:lang w:val="en-US" w:eastAsia="ru-RU"/>
        </w:rPr>
        <w:t xml:space="preserve">heavier </w:t>
      </w:r>
      <w:r w:rsidR="009118A6" w:rsidRPr="007917A1">
        <w:rPr>
          <w:rFonts w:ascii="Times New Roman" w:eastAsia="Times New Roman" w:hAnsi="Times New Roman" w:cs="Times New Roman"/>
          <w:sz w:val="24"/>
          <w:szCs w:val="24"/>
          <w:lang w:val="en-US" w:eastAsia="ru-RU"/>
        </w:rPr>
        <w:t>potential losses for national economy tha</w:t>
      </w:r>
      <w:r w:rsidR="005029FF" w:rsidRPr="007917A1">
        <w:rPr>
          <w:rFonts w:ascii="Times New Roman" w:eastAsia="Times New Roman" w:hAnsi="Times New Roman" w:cs="Times New Roman"/>
          <w:sz w:val="24"/>
          <w:szCs w:val="24"/>
          <w:lang w:val="en-US" w:eastAsia="ru-RU"/>
        </w:rPr>
        <w:t>n</w:t>
      </w:r>
      <w:r w:rsidR="009118A6" w:rsidRPr="007917A1">
        <w:rPr>
          <w:rFonts w:ascii="Times New Roman" w:eastAsia="Times New Roman" w:hAnsi="Times New Roman" w:cs="Times New Roman"/>
          <w:sz w:val="24"/>
          <w:szCs w:val="24"/>
          <w:lang w:val="en-US" w:eastAsia="ru-RU"/>
        </w:rPr>
        <w:t xml:space="preserve"> the crises originating from the stock markets</w:t>
      </w:r>
      <w:r w:rsidR="005D0EF8" w:rsidRPr="007917A1">
        <w:rPr>
          <w:rFonts w:ascii="Times New Roman" w:eastAsia="Times New Roman" w:hAnsi="Times New Roman" w:cs="Times New Roman"/>
          <w:sz w:val="24"/>
          <w:szCs w:val="24"/>
          <w:lang w:val="en-US" w:eastAsia="ru-RU"/>
        </w:rPr>
        <w:t>.</w:t>
      </w:r>
      <w:r w:rsidR="009118A6" w:rsidRPr="007917A1">
        <w:rPr>
          <w:rFonts w:ascii="Times New Roman" w:eastAsia="Times New Roman" w:hAnsi="Times New Roman" w:cs="Times New Roman"/>
          <w:sz w:val="24"/>
          <w:szCs w:val="24"/>
          <w:lang w:val="en-US" w:eastAsia="ru-RU"/>
        </w:rPr>
        <w:t xml:space="preserve"> </w:t>
      </w:r>
      <w:r w:rsidR="006D7360" w:rsidRPr="007917A1">
        <w:rPr>
          <w:rFonts w:ascii="Times New Roman" w:eastAsia="Times New Roman" w:hAnsi="Times New Roman" w:cs="Times New Roman"/>
          <w:sz w:val="24"/>
          <w:szCs w:val="24"/>
          <w:lang w:val="en-US" w:eastAsia="ru-RU"/>
        </w:rPr>
        <w:t xml:space="preserve">Interconnectedness between real estate markets dynamics </w:t>
      </w:r>
      <w:r w:rsidR="005029FF" w:rsidRPr="007917A1">
        <w:rPr>
          <w:rFonts w:ascii="Times New Roman" w:eastAsia="Times New Roman" w:hAnsi="Times New Roman" w:cs="Times New Roman"/>
          <w:sz w:val="24"/>
          <w:szCs w:val="24"/>
          <w:lang w:val="en-US" w:eastAsia="ru-RU"/>
        </w:rPr>
        <w:t xml:space="preserve">is well-studied in Western </w:t>
      </w:r>
      <w:r w:rsidR="001678AF" w:rsidRPr="007917A1">
        <w:rPr>
          <w:rFonts w:ascii="Times New Roman" w:eastAsia="Times New Roman" w:hAnsi="Times New Roman" w:cs="Times New Roman"/>
          <w:sz w:val="24"/>
          <w:szCs w:val="24"/>
          <w:lang w:val="en-US" w:eastAsia="ru-RU"/>
        </w:rPr>
        <w:t>literature</w:t>
      </w:r>
      <w:r w:rsidR="005029FF" w:rsidRPr="007917A1">
        <w:rPr>
          <w:rFonts w:ascii="Times New Roman" w:eastAsia="Times New Roman" w:hAnsi="Times New Roman" w:cs="Times New Roman"/>
          <w:sz w:val="24"/>
          <w:szCs w:val="24"/>
          <w:lang w:val="en-US" w:eastAsia="ru-RU"/>
        </w:rPr>
        <w:t xml:space="preserve">, but requires and in-depth study as applied to Russian banking sector. In this article, we study particular aspect of this relationship, namely </w:t>
      </w:r>
      <w:r w:rsidR="001678AF" w:rsidRPr="007917A1">
        <w:rPr>
          <w:rFonts w:ascii="Times New Roman" w:eastAsia="Times New Roman" w:hAnsi="Times New Roman" w:cs="Times New Roman"/>
          <w:sz w:val="24"/>
          <w:szCs w:val="24"/>
          <w:lang w:val="en-US" w:eastAsia="ru-RU"/>
        </w:rPr>
        <w:t>an interrelation between banking real estate portfolios structure and banking stability and potential losses in case of significant banking real estate portfolios devaluation.</w:t>
      </w:r>
    </w:p>
    <w:p w:rsidR="00B3479F" w:rsidRPr="007917A1" w:rsidRDefault="00B3479F" w:rsidP="004B41CB">
      <w:pPr>
        <w:spacing w:before="120" w:after="0" w:line="240" w:lineRule="auto"/>
        <w:jc w:val="both"/>
        <w:rPr>
          <w:rFonts w:ascii="Times New Roman" w:eastAsia="Times New Roman" w:hAnsi="Times New Roman" w:cs="Times New Roman"/>
          <w:sz w:val="24"/>
          <w:szCs w:val="24"/>
          <w:lang w:val="en-US" w:eastAsia="ru-RU"/>
        </w:rPr>
      </w:pPr>
      <w:r w:rsidRPr="007917A1">
        <w:rPr>
          <w:rFonts w:ascii="Times New Roman" w:eastAsia="Times New Roman" w:hAnsi="Times New Roman" w:cs="Times New Roman"/>
          <w:b/>
          <w:sz w:val="24"/>
          <w:szCs w:val="24"/>
          <w:lang w:val="en-US" w:eastAsia="ru-RU"/>
        </w:rPr>
        <w:t>Objectives</w:t>
      </w:r>
      <w:r w:rsidRPr="007917A1">
        <w:rPr>
          <w:rFonts w:ascii="Times New Roman" w:eastAsia="Times New Roman" w:hAnsi="Times New Roman" w:cs="Times New Roman"/>
          <w:sz w:val="24"/>
          <w:szCs w:val="24"/>
          <w:lang w:val="en-US" w:eastAsia="ru-RU"/>
        </w:rPr>
        <w:t xml:space="preserve"> </w:t>
      </w:r>
      <w:r w:rsidR="001C4F28" w:rsidRPr="007917A1">
        <w:rPr>
          <w:rFonts w:ascii="Times New Roman" w:eastAsia="Times New Roman" w:hAnsi="Times New Roman" w:cs="Times New Roman"/>
          <w:sz w:val="24"/>
          <w:szCs w:val="24"/>
          <w:lang w:val="en-US" w:eastAsia="ru-RU"/>
        </w:rPr>
        <w:t>To s</w:t>
      </w:r>
      <w:r w:rsidR="001D449A" w:rsidRPr="007917A1">
        <w:rPr>
          <w:rFonts w:ascii="Times New Roman" w:eastAsia="Times New Roman" w:hAnsi="Times New Roman" w:cs="Times New Roman"/>
          <w:sz w:val="24"/>
          <w:szCs w:val="24"/>
          <w:lang w:val="en-US" w:eastAsia="ru-RU"/>
        </w:rPr>
        <w:t>t</w:t>
      </w:r>
      <w:r w:rsidR="001C4F28" w:rsidRPr="007917A1">
        <w:rPr>
          <w:rFonts w:ascii="Times New Roman" w:eastAsia="Times New Roman" w:hAnsi="Times New Roman" w:cs="Times New Roman"/>
          <w:sz w:val="24"/>
          <w:szCs w:val="24"/>
          <w:lang w:val="en-US" w:eastAsia="ru-RU"/>
        </w:rPr>
        <w:t xml:space="preserve">udy </w:t>
      </w:r>
      <w:r w:rsidR="001678AF" w:rsidRPr="007917A1">
        <w:rPr>
          <w:rFonts w:ascii="Times New Roman" w:eastAsia="Times New Roman" w:hAnsi="Times New Roman" w:cs="Times New Roman"/>
          <w:sz w:val="24"/>
          <w:szCs w:val="24"/>
          <w:lang w:val="en-US" w:eastAsia="ru-RU"/>
        </w:rPr>
        <w:t xml:space="preserve">relation between </w:t>
      </w:r>
      <w:r w:rsidR="001C4F28" w:rsidRPr="007917A1">
        <w:rPr>
          <w:rFonts w:ascii="Times New Roman" w:eastAsia="Times New Roman" w:hAnsi="Times New Roman" w:cs="Times New Roman"/>
          <w:sz w:val="24"/>
          <w:szCs w:val="24"/>
          <w:lang w:val="en-US" w:eastAsia="ru-RU"/>
        </w:rPr>
        <w:t xml:space="preserve">the structure </w:t>
      </w:r>
      <w:r w:rsidR="001678AF" w:rsidRPr="007917A1">
        <w:rPr>
          <w:rFonts w:ascii="Times New Roman" w:eastAsia="Times New Roman" w:hAnsi="Times New Roman" w:cs="Times New Roman"/>
          <w:sz w:val="24"/>
          <w:szCs w:val="24"/>
          <w:lang w:val="en-US" w:eastAsia="ru-RU"/>
        </w:rPr>
        <w:t xml:space="preserve">of real estate portfolios on </w:t>
      </w:r>
      <w:r w:rsidR="001C4F28" w:rsidRPr="007917A1">
        <w:rPr>
          <w:rFonts w:ascii="Times New Roman" w:eastAsia="Times New Roman" w:hAnsi="Times New Roman" w:cs="Times New Roman"/>
          <w:sz w:val="24"/>
          <w:szCs w:val="24"/>
          <w:lang w:val="en-US" w:eastAsia="ru-RU"/>
        </w:rPr>
        <w:t>Russian ban</w:t>
      </w:r>
      <w:r w:rsidR="001678AF" w:rsidRPr="007917A1">
        <w:rPr>
          <w:rFonts w:ascii="Times New Roman" w:eastAsia="Times New Roman" w:hAnsi="Times New Roman" w:cs="Times New Roman"/>
          <w:sz w:val="24"/>
          <w:szCs w:val="24"/>
          <w:lang w:val="en-US" w:eastAsia="ru-RU"/>
        </w:rPr>
        <w:t>ks</w:t>
      </w:r>
      <w:r w:rsidR="001C4F28" w:rsidRPr="007917A1">
        <w:rPr>
          <w:rFonts w:ascii="Times New Roman" w:eastAsia="Times New Roman" w:hAnsi="Times New Roman" w:cs="Times New Roman"/>
          <w:sz w:val="24"/>
          <w:szCs w:val="24"/>
          <w:lang w:val="en-US" w:eastAsia="ru-RU"/>
        </w:rPr>
        <w:t xml:space="preserve"> </w:t>
      </w:r>
      <w:r w:rsidR="001678AF" w:rsidRPr="007917A1">
        <w:rPr>
          <w:rFonts w:ascii="Times New Roman" w:eastAsia="Times New Roman" w:hAnsi="Times New Roman" w:cs="Times New Roman"/>
          <w:sz w:val="24"/>
          <w:szCs w:val="24"/>
          <w:lang w:val="en-US" w:eastAsia="ru-RU"/>
        </w:rPr>
        <w:t>balance sheets and banking system stability</w:t>
      </w:r>
      <w:r w:rsidRPr="007917A1">
        <w:rPr>
          <w:rFonts w:ascii="Times New Roman" w:eastAsia="Times New Roman" w:hAnsi="Times New Roman" w:cs="Times New Roman"/>
          <w:sz w:val="24"/>
          <w:szCs w:val="24"/>
          <w:lang w:val="en-US" w:eastAsia="ru-RU"/>
        </w:rPr>
        <w:t>.</w:t>
      </w:r>
    </w:p>
    <w:p w:rsidR="00B3479F" w:rsidRPr="007917A1" w:rsidRDefault="00B3479F" w:rsidP="004B41CB">
      <w:pPr>
        <w:spacing w:before="120" w:after="0" w:line="240" w:lineRule="auto"/>
        <w:jc w:val="both"/>
        <w:rPr>
          <w:rFonts w:ascii="Times New Roman" w:eastAsia="Times New Roman" w:hAnsi="Times New Roman" w:cs="Times New Roman"/>
          <w:sz w:val="24"/>
          <w:szCs w:val="24"/>
          <w:lang w:val="en-US" w:eastAsia="ru-RU"/>
        </w:rPr>
      </w:pPr>
      <w:r w:rsidRPr="007917A1">
        <w:rPr>
          <w:rFonts w:ascii="Times New Roman" w:eastAsia="Times New Roman" w:hAnsi="Times New Roman" w:cs="Times New Roman"/>
          <w:b/>
          <w:sz w:val="24"/>
          <w:szCs w:val="24"/>
          <w:lang w:val="en-US" w:eastAsia="ru-RU"/>
        </w:rPr>
        <w:t>Methods</w:t>
      </w:r>
      <w:r w:rsidRPr="007917A1">
        <w:rPr>
          <w:rFonts w:ascii="Times New Roman" w:eastAsia="Times New Roman" w:hAnsi="Times New Roman" w:cs="Times New Roman"/>
          <w:sz w:val="24"/>
          <w:szCs w:val="24"/>
          <w:lang w:val="en-US" w:eastAsia="ru-RU"/>
        </w:rPr>
        <w:t xml:space="preserve"> The research employs methods of logical analysis and analysis of time series</w:t>
      </w:r>
      <w:r w:rsidR="00251ECE" w:rsidRPr="007917A1">
        <w:rPr>
          <w:rFonts w:ascii="Times New Roman" w:eastAsia="Times New Roman" w:hAnsi="Times New Roman" w:cs="Times New Roman"/>
          <w:sz w:val="24"/>
          <w:szCs w:val="24"/>
          <w:lang w:val="en-US" w:eastAsia="ru-RU"/>
        </w:rPr>
        <w:t xml:space="preserve"> (bank assets, real estate assets on banks book), logical analysis</w:t>
      </w:r>
      <w:r w:rsidRPr="007917A1">
        <w:rPr>
          <w:rFonts w:ascii="Times New Roman" w:eastAsia="Times New Roman" w:hAnsi="Times New Roman" w:cs="Times New Roman"/>
          <w:sz w:val="24"/>
          <w:szCs w:val="24"/>
          <w:lang w:val="en-US" w:eastAsia="ru-RU"/>
        </w:rPr>
        <w:t>.</w:t>
      </w:r>
    </w:p>
    <w:p w:rsidR="00B3479F" w:rsidRPr="007917A1" w:rsidRDefault="00B3479F" w:rsidP="004B41CB">
      <w:pPr>
        <w:spacing w:before="120" w:after="0" w:line="240" w:lineRule="auto"/>
        <w:jc w:val="both"/>
        <w:rPr>
          <w:rFonts w:ascii="Times New Roman" w:eastAsia="Times New Roman" w:hAnsi="Times New Roman" w:cs="Times New Roman"/>
          <w:sz w:val="24"/>
          <w:szCs w:val="24"/>
          <w:lang w:val="en-US" w:eastAsia="ru-RU"/>
        </w:rPr>
      </w:pPr>
      <w:r w:rsidRPr="007917A1">
        <w:rPr>
          <w:rFonts w:ascii="Times New Roman" w:eastAsia="Times New Roman" w:hAnsi="Times New Roman" w:cs="Times New Roman"/>
          <w:b/>
          <w:sz w:val="24"/>
          <w:szCs w:val="24"/>
          <w:lang w:val="en-US" w:eastAsia="ru-RU"/>
        </w:rPr>
        <w:t>Results</w:t>
      </w:r>
      <w:r w:rsidRPr="007917A1">
        <w:rPr>
          <w:rFonts w:ascii="Times New Roman" w:eastAsia="Times New Roman" w:hAnsi="Times New Roman" w:cs="Times New Roman"/>
          <w:sz w:val="24"/>
          <w:szCs w:val="24"/>
          <w:lang w:val="en-US" w:eastAsia="ru-RU"/>
        </w:rPr>
        <w:t xml:space="preserve"> </w:t>
      </w:r>
      <w:r w:rsidR="00251ECE" w:rsidRPr="007917A1">
        <w:rPr>
          <w:rFonts w:ascii="Times New Roman" w:eastAsia="Times New Roman" w:hAnsi="Times New Roman" w:cs="Times New Roman"/>
          <w:sz w:val="24"/>
          <w:szCs w:val="24"/>
          <w:lang w:val="en-US" w:eastAsia="ru-RU"/>
        </w:rPr>
        <w:t xml:space="preserve">During </w:t>
      </w:r>
      <w:r w:rsidR="001678AF" w:rsidRPr="007917A1">
        <w:rPr>
          <w:rFonts w:ascii="Times New Roman" w:eastAsia="Times New Roman" w:hAnsi="Times New Roman" w:cs="Times New Roman"/>
          <w:sz w:val="24"/>
          <w:szCs w:val="24"/>
          <w:lang w:val="en-US" w:eastAsia="ru-RU"/>
        </w:rPr>
        <w:t xml:space="preserve">this </w:t>
      </w:r>
      <w:r w:rsidR="00251ECE" w:rsidRPr="007917A1">
        <w:rPr>
          <w:rFonts w:ascii="Times New Roman" w:eastAsia="Times New Roman" w:hAnsi="Times New Roman" w:cs="Times New Roman"/>
          <w:sz w:val="24"/>
          <w:szCs w:val="24"/>
          <w:lang w:val="en-US" w:eastAsia="ru-RU"/>
        </w:rPr>
        <w:t xml:space="preserve">study we identified </w:t>
      </w:r>
      <w:r w:rsidR="001678AF" w:rsidRPr="007917A1">
        <w:rPr>
          <w:rFonts w:ascii="Times New Roman" w:eastAsia="Times New Roman" w:hAnsi="Times New Roman" w:cs="Times New Roman"/>
          <w:sz w:val="24"/>
          <w:szCs w:val="24"/>
          <w:lang w:val="en-US" w:eastAsia="ru-RU"/>
        </w:rPr>
        <w:t>significant</w:t>
      </w:r>
      <w:r w:rsidR="00251ECE" w:rsidRPr="007917A1">
        <w:rPr>
          <w:rFonts w:ascii="Times New Roman" w:eastAsia="Times New Roman" w:hAnsi="Times New Roman" w:cs="Times New Roman"/>
          <w:sz w:val="24"/>
          <w:szCs w:val="24"/>
          <w:lang w:val="en-US" w:eastAsia="ru-RU"/>
        </w:rPr>
        <w:t xml:space="preserve"> concentration of real estate</w:t>
      </w:r>
      <w:r w:rsidR="001678AF" w:rsidRPr="007917A1">
        <w:rPr>
          <w:rFonts w:ascii="Times New Roman" w:eastAsia="Times New Roman" w:hAnsi="Times New Roman" w:cs="Times New Roman"/>
          <w:sz w:val="24"/>
          <w:szCs w:val="24"/>
          <w:lang w:val="en-US" w:eastAsia="ru-RU"/>
        </w:rPr>
        <w:t xml:space="preserve"> assets on largest banks balance sheets. At the same time it is noted that the share of real estate assets on banks’ balance sheets is relatively small compared to total banking system assets and as such, it has no </w:t>
      </w:r>
      <w:proofErr w:type="gramStart"/>
      <w:r w:rsidR="001678AF" w:rsidRPr="007917A1">
        <w:rPr>
          <w:rFonts w:ascii="Times New Roman" w:eastAsia="Times New Roman" w:hAnsi="Times New Roman" w:cs="Times New Roman"/>
          <w:sz w:val="24"/>
          <w:szCs w:val="24"/>
          <w:lang w:val="en-US" w:eastAsia="ru-RU"/>
        </w:rPr>
        <w:t>potential  to</w:t>
      </w:r>
      <w:proofErr w:type="gramEnd"/>
      <w:r w:rsidR="001678AF" w:rsidRPr="007917A1">
        <w:rPr>
          <w:rFonts w:ascii="Times New Roman" w:eastAsia="Times New Roman" w:hAnsi="Times New Roman" w:cs="Times New Roman"/>
          <w:sz w:val="24"/>
          <w:szCs w:val="24"/>
          <w:lang w:val="en-US" w:eastAsia="ru-RU"/>
        </w:rPr>
        <w:t xml:space="preserve"> cause a full-scale banking crisis in case of </w:t>
      </w:r>
      <w:r w:rsidR="001E21DB" w:rsidRPr="007917A1">
        <w:rPr>
          <w:rFonts w:ascii="Times New Roman" w:eastAsia="Times New Roman" w:hAnsi="Times New Roman" w:cs="Times New Roman"/>
          <w:sz w:val="24"/>
          <w:szCs w:val="24"/>
          <w:lang w:val="en-US" w:eastAsia="ru-RU"/>
        </w:rPr>
        <w:t>material</w:t>
      </w:r>
      <w:r w:rsidR="001678AF" w:rsidRPr="007917A1">
        <w:rPr>
          <w:rFonts w:ascii="Times New Roman" w:eastAsia="Times New Roman" w:hAnsi="Times New Roman" w:cs="Times New Roman"/>
          <w:sz w:val="24"/>
          <w:szCs w:val="24"/>
          <w:lang w:val="en-US" w:eastAsia="ru-RU"/>
        </w:rPr>
        <w:t xml:space="preserve"> banks’ real estate portfolios devaluation</w:t>
      </w:r>
      <w:r w:rsidR="00251ECE" w:rsidRPr="007917A1">
        <w:rPr>
          <w:rFonts w:ascii="Times New Roman" w:eastAsia="Times New Roman" w:hAnsi="Times New Roman" w:cs="Times New Roman"/>
          <w:sz w:val="24"/>
          <w:szCs w:val="24"/>
          <w:lang w:val="en-US" w:eastAsia="ru-RU"/>
        </w:rPr>
        <w:t>.</w:t>
      </w:r>
    </w:p>
    <w:p w:rsidR="00251ECE" w:rsidRPr="007917A1" w:rsidRDefault="00251ECE" w:rsidP="004B41CB">
      <w:pPr>
        <w:spacing w:before="120" w:after="0" w:line="240" w:lineRule="auto"/>
        <w:jc w:val="both"/>
        <w:rPr>
          <w:rFonts w:ascii="Times New Roman" w:eastAsia="Times New Roman" w:hAnsi="Times New Roman" w:cs="Times New Roman"/>
          <w:b/>
          <w:sz w:val="24"/>
          <w:szCs w:val="24"/>
          <w:lang w:val="en-US" w:eastAsia="ru-RU"/>
        </w:rPr>
      </w:pPr>
      <w:r w:rsidRPr="007917A1">
        <w:rPr>
          <w:rFonts w:ascii="Times New Roman" w:eastAsia="Times New Roman" w:hAnsi="Times New Roman" w:cs="Times New Roman"/>
          <w:b/>
          <w:sz w:val="24"/>
          <w:szCs w:val="24"/>
          <w:lang w:val="en-US" w:eastAsia="ru-RU"/>
        </w:rPr>
        <w:t>Conclusions and Relevance</w:t>
      </w:r>
      <w:r w:rsidRPr="007917A1">
        <w:rPr>
          <w:rFonts w:ascii="Times New Roman" w:eastAsia="Times New Roman" w:hAnsi="Times New Roman" w:cs="Times New Roman"/>
          <w:sz w:val="24"/>
          <w:szCs w:val="24"/>
          <w:lang w:val="en-US" w:eastAsia="ru-RU"/>
        </w:rPr>
        <w:t xml:space="preserve"> </w:t>
      </w:r>
      <w:r w:rsidR="001678AF" w:rsidRPr="007917A1">
        <w:rPr>
          <w:rFonts w:ascii="Times New Roman" w:eastAsia="Times New Roman" w:hAnsi="Times New Roman" w:cs="Times New Roman"/>
          <w:sz w:val="24"/>
          <w:szCs w:val="24"/>
          <w:lang w:val="en-US" w:eastAsia="ru-RU"/>
        </w:rPr>
        <w:t xml:space="preserve">Conclusions are drawn with regards to relatively small share of real estate assets </w:t>
      </w:r>
      <w:r w:rsidR="004F2342" w:rsidRPr="007917A1">
        <w:rPr>
          <w:rFonts w:ascii="Times New Roman" w:eastAsia="Times New Roman" w:hAnsi="Times New Roman" w:cs="Times New Roman"/>
          <w:sz w:val="24"/>
          <w:szCs w:val="24"/>
          <w:lang w:val="en-US" w:eastAsia="ru-RU"/>
        </w:rPr>
        <w:t xml:space="preserve">on banks’ balance sheets </w:t>
      </w:r>
      <w:r w:rsidR="001678AF" w:rsidRPr="007917A1">
        <w:rPr>
          <w:rFonts w:ascii="Times New Roman" w:eastAsia="Times New Roman" w:hAnsi="Times New Roman" w:cs="Times New Roman"/>
          <w:sz w:val="24"/>
          <w:szCs w:val="24"/>
          <w:lang w:val="en-US" w:eastAsia="ru-RU"/>
        </w:rPr>
        <w:t xml:space="preserve">compared to total assets of Russian banking system and relatively small probability of banking crisis as a result of real estate portfolios </w:t>
      </w:r>
      <w:r w:rsidR="004F2342" w:rsidRPr="007917A1">
        <w:rPr>
          <w:rFonts w:ascii="Times New Roman" w:eastAsia="Times New Roman" w:hAnsi="Times New Roman" w:cs="Times New Roman"/>
          <w:sz w:val="24"/>
          <w:szCs w:val="24"/>
          <w:lang w:val="en-US" w:eastAsia="ru-RU"/>
        </w:rPr>
        <w:t>devaluation</w:t>
      </w:r>
      <w:r w:rsidR="001678AF" w:rsidRPr="007917A1">
        <w:rPr>
          <w:rFonts w:ascii="Times New Roman" w:eastAsia="Times New Roman" w:hAnsi="Times New Roman" w:cs="Times New Roman"/>
          <w:sz w:val="24"/>
          <w:szCs w:val="24"/>
          <w:lang w:val="en-US" w:eastAsia="ru-RU"/>
        </w:rPr>
        <w:t xml:space="preserve">. At the same time, given potential </w:t>
      </w:r>
      <w:r w:rsidR="004F2342" w:rsidRPr="007917A1">
        <w:rPr>
          <w:rFonts w:ascii="Times New Roman" w:eastAsia="Times New Roman" w:hAnsi="Times New Roman" w:cs="Times New Roman"/>
          <w:sz w:val="24"/>
          <w:szCs w:val="24"/>
          <w:lang w:val="en-US" w:eastAsia="ru-RU"/>
        </w:rPr>
        <w:t xml:space="preserve">for real estate portfolios growth on the banks’ balance sheets and significant difference in portfolio structures between largest systemically-significant banks, there is a necessity for development of </w:t>
      </w:r>
      <w:r w:rsidR="00D77876" w:rsidRPr="007917A1">
        <w:rPr>
          <w:rFonts w:ascii="Times New Roman" w:eastAsia="Times New Roman" w:hAnsi="Times New Roman" w:cs="Times New Roman"/>
          <w:sz w:val="24"/>
          <w:szCs w:val="24"/>
          <w:lang w:val="en-US" w:eastAsia="ru-RU"/>
        </w:rPr>
        <w:t xml:space="preserve">internally-consistent and </w:t>
      </w:r>
      <w:r w:rsidR="004F2342" w:rsidRPr="007917A1">
        <w:rPr>
          <w:rFonts w:ascii="Times New Roman" w:eastAsia="Times New Roman" w:hAnsi="Times New Roman" w:cs="Times New Roman"/>
          <w:sz w:val="24"/>
          <w:szCs w:val="24"/>
          <w:lang w:val="en-US" w:eastAsia="ru-RU"/>
        </w:rPr>
        <w:t>comprehensive system of indicators for banks’ real estate portfolios value management, which is tailored to non-core nature of real estate management for bank</w:t>
      </w:r>
      <w:r w:rsidR="00037513" w:rsidRPr="007917A1">
        <w:rPr>
          <w:rFonts w:ascii="Times New Roman" w:eastAsia="Times New Roman" w:hAnsi="Times New Roman" w:cs="Times New Roman"/>
          <w:sz w:val="24"/>
          <w:szCs w:val="24"/>
          <w:lang w:val="en-US" w:eastAsia="ru-RU"/>
        </w:rPr>
        <w:t>ing sector</w:t>
      </w:r>
      <w:r w:rsidR="004F2342" w:rsidRPr="007917A1">
        <w:rPr>
          <w:rFonts w:ascii="Times New Roman" w:eastAsia="Times New Roman" w:hAnsi="Times New Roman" w:cs="Times New Roman"/>
          <w:sz w:val="24"/>
          <w:szCs w:val="24"/>
          <w:lang w:val="en-US" w:eastAsia="ru-RU"/>
        </w:rPr>
        <w:t xml:space="preserve"> and specifics of Russian real estate market</w:t>
      </w:r>
      <w:r w:rsidRPr="007917A1">
        <w:rPr>
          <w:rFonts w:ascii="Times New Roman" w:eastAsia="Times New Roman" w:hAnsi="Times New Roman" w:cs="Times New Roman"/>
          <w:sz w:val="24"/>
          <w:szCs w:val="24"/>
          <w:lang w:val="en-US" w:eastAsia="ru-RU"/>
        </w:rPr>
        <w:t>.</w:t>
      </w:r>
    </w:p>
    <w:p w:rsidR="00B3479F" w:rsidRPr="007917A1" w:rsidRDefault="00B3479F" w:rsidP="004B41CB">
      <w:pPr>
        <w:spacing w:before="120" w:after="0" w:line="240" w:lineRule="auto"/>
        <w:jc w:val="both"/>
        <w:rPr>
          <w:rFonts w:ascii="Times New Roman" w:eastAsia="Times New Roman" w:hAnsi="Times New Roman" w:cs="Times New Roman"/>
          <w:sz w:val="24"/>
          <w:szCs w:val="24"/>
          <w:lang w:val="en-US" w:eastAsia="ru-RU"/>
        </w:rPr>
      </w:pPr>
      <w:r w:rsidRPr="007917A1">
        <w:rPr>
          <w:rFonts w:ascii="Times New Roman" w:eastAsia="Times New Roman" w:hAnsi="Times New Roman" w:cs="Times New Roman"/>
          <w:b/>
          <w:sz w:val="24"/>
          <w:szCs w:val="24"/>
          <w:lang w:val="en-US" w:eastAsia="ru-RU"/>
        </w:rPr>
        <w:t>Keywords:</w:t>
      </w:r>
      <w:r w:rsidRPr="007917A1">
        <w:rPr>
          <w:rFonts w:ascii="Times New Roman" w:eastAsia="Times New Roman" w:hAnsi="Times New Roman" w:cs="Times New Roman"/>
          <w:sz w:val="24"/>
          <w:szCs w:val="24"/>
          <w:lang w:val="en-US" w:eastAsia="ru-RU"/>
        </w:rPr>
        <w:t xml:space="preserve"> </w:t>
      </w:r>
      <w:r w:rsidR="001C4F28" w:rsidRPr="007917A1">
        <w:rPr>
          <w:rFonts w:ascii="Times New Roman" w:eastAsia="Times New Roman" w:hAnsi="Times New Roman" w:cs="Times New Roman"/>
          <w:sz w:val="24"/>
          <w:szCs w:val="24"/>
          <w:lang w:val="en-US" w:eastAsia="ru-RU"/>
        </w:rPr>
        <w:t>real estate, real estate-associated risks, systemically-significant banks</w:t>
      </w:r>
    </w:p>
    <w:p w:rsidR="002651DA" w:rsidRPr="007917A1" w:rsidRDefault="002651DA" w:rsidP="004B41CB">
      <w:pPr>
        <w:spacing w:before="120" w:after="0" w:line="360" w:lineRule="auto"/>
        <w:jc w:val="both"/>
        <w:rPr>
          <w:rFonts w:ascii="Times New Roman" w:eastAsia="Times New Roman" w:hAnsi="Times New Roman" w:cs="Times New Roman"/>
          <w:sz w:val="24"/>
          <w:szCs w:val="24"/>
          <w:lang w:eastAsia="ru-RU"/>
        </w:rPr>
      </w:pPr>
      <w:bookmarkStart w:id="2" w:name="_Hlk515357555"/>
      <w:bookmarkEnd w:id="0"/>
      <w:r w:rsidRPr="007917A1">
        <w:rPr>
          <w:rFonts w:ascii="Times New Roman" w:eastAsia="Times New Roman" w:hAnsi="Times New Roman" w:cs="Times New Roman"/>
          <w:sz w:val="24"/>
          <w:szCs w:val="24"/>
          <w:lang w:eastAsia="ru-RU"/>
        </w:rPr>
        <w:t>П</w:t>
      </w:r>
      <w:r w:rsidR="002F2B25" w:rsidRPr="007917A1">
        <w:rPr>
          <w:rFonts w:ascii="Times New Roman" w:eastAsia="Times New Roman" w:hAnsi="Times New Roman" w:cs="Times New Roman"/>
          <w:sz w:val="24"/>
          <w:szCs w:val="24"/>
          <w:lang w:eastAsia="ru-RU"/>
        </w:rPr>
        <w:t xml:space="preserve">редыдущий финансовый кризис в США заставил мировое сообщество осознать </w:t>
      </w:r>
      <w:r w:rsidR="000060D5" w:rsidRPr="007917A1">
        <w:rPr>
          <w:rFonts w:ascii="Times New Roman" w:eastAsia="Times New Roman" w:hAnsi="Times New Roman" w:cs="Times New Roman"/>
          <w:sz w:val="24"/>
          <w:szCs w:val="24"/>
          <w:lang w:eastAsia="ru-RU"/>
        </w:rPr>
        <w:t xml:space="preserve">рискованную </w:t>
      </w:r>
      <w:r w:rsidR="002F2B25" w:rsidRPr="007917A1">
        <w:rPr>
          <w:rFonts w:ascii="Times New Roman" w:eastAsia="Times New Roman" w:hAnsi="Times New Roman" w:cs="Times New Roman"/>
          <w:sz w:val="24"/>
          <w:szCs w:val="24"/>
          <w:lang w:eastAsia="ru-RU"/>
        </w:rPr>
        <w:t>взаимосвязь динамики рынков недвижимости и глобального финансового рынка</w:t>
      </w:r>
      <w:r w:rsidR="00A069F5" w:rsidRPr="007917A1">
        <w:rPr>
          <w:rFonts w:ascii="Times New Roman" w:eastAsia="Times New Roman" w:hAnsi="Times New Roman" w:cs="Times New Roman"/>
          <w:sz w:val="24"/>
          <w:szCs w:val="24"/>
          <w:lang w:eastAsia="ru-RU"/>
        </w:rPr>
        <w:t>, поскольку первоначально он развился из ипотечного кризиса</w:t>
      </w:r>
      <w:r w:rsidR="00876CA6" w:rsidRPr="007917A1">
        <w:rPr>
          <w:rFonts w:ascii="Times New Roman" w:eastAsia="Times New Roman" w:hAnsi="Times New Roman" w:cs="Times New Roman"/>
          <w:sz w:val="24"/>
          <w:szCs w:val="24"/>
          <w:lang w:eastAsia="ru-RU"/>
        </w:rPr>
        <w:t xml:space="preserve"> [</w:t>
      </w:r>
      <w:r w:rsidR="00B63068" w:rsidRPr="007917A1">
        <w:rPr>
          <w:rFonts w:ascii="Times New Roman" w:eastAsia="Times New Roman" w:hAnsi="Times New Roman" w:cs="Times New Roman"/>
          <w:sz w:val="24"/>
          <w:szCs w:val="24"/>
          <w:lang w:eastAsia="ru-RU"/>
        </w:rPr>
        <w:fldChar w:fldCharType="begin"/>
      </w:r>
      <w:r w:rsidR="00B63068" w:rsidRPr="007917A1">
        <w:rPr>
          <w:rFonts w:ascii="Times New Roman" w:eastAsia="Times New Roman" w:hAnsi="Times New Roman" w:cs="Times New Roman"/>
          <w:sz w:val="24"/>
          <w:szCs w:val="24"/>
          <w:lang w:eastAsia="ru-RU"/>
        </w:rPr>
        <w:instrText xml:space="preserve"> REF _Ref529197179 \r \h </w:instrText>
      </w:r>
      <w:r w:rsidR="00B63068" w:rsidRPr="007917A1">
        <w:rPr>
          <w:rFonts w:ascii="Times New Roman" w:eastAsia="Times New Roman" w:hAnsi="Times New Roman" w:cs="Times New Roman"/>
          <w:sz w:val="24"/>
          <w:szCs w:val="24"/>
          <w:lang w:eastAsia="ru-RU"/>
        </w:rPr>
      </w:r>
      <w:r w:rsidR="007917A1">
        <w:rPr>
          <w:rFonts w:ascii="Times New Roman" w:eastAsia="Times New Roman" w:hAnsi="Times New Roman" w:cs="Times New Roman"/>
          <w:sz w:val="24"/>
          <w:szCs w:val="24"/>
          <w:lang w:eastAsia="ru-RU"/>
        </w:rPr>
        <w:instrText xml:space="preserve"> \* MERGEFORMAT </w:instrText>
      </w:r>
      <w:r w:rsidR="00B63068" w:rsidRPr="007917A1">
        <w:rPr>
          <w:rFonts w:ascii="Times New Roman" w:eastAsia="Times New Roman" w:hAnsi="Times New Roman" w:cs="Times New Roman"/>
          <w:sz w:val="24"/>
          <w:szCs w:val="24"/>
          <w:lang w:eastAsia="ru-RU"/>
        </w:rPr>
        <w:fldChar w:fldCharType="separate"/>
      </w:r>
      <w:r w:rsidR="00C31793" w:rsidRPr="007917A1">
        <w:rPr>
          <w:rFonts w:ascii="Times New Roman" w:eastAsia="Times New Roman" w:hAnsi="Times New Roman" w:cs="Times New Roman"/>
          <w:sz w:val="24"/>
          <w:szCs w:val="24"/>
          <w:lang w:eastAsia="ru-RU"/>
        </w:rPr>
        <w:t>1</w:t>
      </w:r>
      <w:r w:rsidR="00B63068" w:rsidRPr="007917A1">
        <w:rPr>
          <w:rFonts w:ascii="Times New Roman" w:eastAsia="Times New Roman" w:hAnsi="Times New Roman" w:cs="Times New Roman"/>
          <w:sz w:val="24"/>
          <w:szCs w:val="24"/>
          <w:lang w:eastAsia="ru-RU"/>
        </w:rPr>
        <w:fldChar w:fldCharType="end"/>
      </w:r>
      <w:r w:rsidR="00876CA6" w:rsidRPr="007917A1">
        <w:rPr>
          <w:rFonts w:ascii="Times New Roman" w:eastAsia="Times New Roman" w:hAnsi="Times New Roman" w:cs="Times New Roman"/>
          <w:sz w:val="24"/>
          <w:szCs w:val="24"/>
          <w:lang w:eastAsia="ru-RU"/>
        </w:rPr>
        <w:t>]</w:t>
      </w:r>
      <w:r w:rsidR="00A069F5" w:rsidRPr="007917A1">
        <w:rPr>
          <w:rFonts w:ascii="Times New Roman" w:eastAsia="Times New Roman" w:hAnsi="Times New Roman" w:cs="Times New Roman"/>
          <w:sz w:val="24"/>
          <w:szCs w:val="24"/>
          <w:lang w:eastAsia="ru-RU"/>
        </w:rPr>
        <w:t>.</w:t>
      </w:r>
      <w:r w:rsidR="002F2B25" w:rsidRPr="007917A1">
        <w:rPr>
          <w:rFonts w:ascii="Times New Roman" w:eastAsia="Times New Roman" w:hAnsi="Times New Roman" w:cs="Times New Roman"/>
          <w:sz w:val="24"/>
          <w:szCs w:val="24"/>
          <w:lang w:eastAsia="ru-RU"/>
        </w:rPr>
        <w:t xml:space="preserve"> </w:t>
      </w:r>
      <w:r w:rsidRPr="007917A1">
        <w:rPr>
          <w:rFonts w:ascii="Times New Roman" w:eastAsia="Times New Roman" w:hAnsi="Times New Roman" w:cs="Times New Roman"/>
          <w:sz w:val="24"/>
          <w:szCs w:val="24"/>
          <w:lang w:eastAsia="ru-RU"/>
        </w:rPr>
        <w:t xml:space="preserve">Из-за недооценки рисков на рынке недвижимости не удалось предотвратить наихудший сценарий развития любого национального и транснационального экономического кризиса (выражающегося </w:t>
      </w:r>
      <w:r w:rsidRPr="007917A1">
        <w:rPr>
          <w:rFonts w:ascii="Times New Roman" w:eastAsia="Times New Roman" w:hAnsi="Times New Roman" w:cs="Times New Roman"/>
          <w:sz w:val="24"/>
          <w:szCs w:val="24"/>
          <w:lang w:eastAsia="ru-RU"/>
        </w:rPr>
        <w:lastRenderedPageBreak/>
        <w:t xml:space="preserve">изначально в падении производства, занятости и потребления) </w:t>
      </w:r>
      <w:r w:rsidR="007C3FCF" w:rsidRPr="007917A1">
        <w:rPr>
          <w:rFonts w:ascii="Times New Roman" w:eastAsia="Times New Roman" w:hAnsi="Times New Roman" w:cs="Times New Roman"/>
          <w:sz w:val="24"/>
          <w:szCs w:val="24"/>
          <w:lang w:eastAsia="ru-RU"/>
        </w:rPr>
        <w:t>–</w:t>
      </w:r>
      <w:r w:rsidRPr="007917A1">
        <w:rPr>
          <w:rFonts w:ascii="Times New Roman" w:eastAsia="Times New Roman" w:hAnsi="Times New Roman" w:cs="Times New Roman"/>
          <w:sz w:val="24"/>
          <w:szCs w:val="24"/>
          <w:lang w:eastAsia="ru-RU"/>
        </w:rPr>
        <w:t xml:space="preserve"> переход в финансовый кризис (резкое снижение стоимости активов в национальной финансовой системе), а затем в банковский кризис (неспособность национальной банковской системы отвечать по своим обязательствам). </w:t>
      </w:r>
    </w:p>
    <w:p w:rsidR="000060D5" w:rsidRPr="007917A1" w:rsidRDefault="004A3CC6" w:rsidP="004B41CB">
      <w:pPr>
        <w:spacing w:before="120" w:after="0" w:line="360" w:lineRule="auto"/>
        <w:jc w:val="both"/>
        <w:rPr>
          <w:rFonts w:ascii="Times New Roman" w:hAnsi="Times New Roman" w:cs="Times New Roman"/>
          <w:sz w:val="28"/>
          <w:szCs w:val="28"/>
        </w:rPr>
      </w:pPr>
      <w:r w:rsidRPr="007917A1">
        <w:rPr>
          <w:rFonts w:ascii="Times New Roman" w:eastAsia="Times New Roman" w:hAnsi="Times New Roman" w:cs="Times New Roman"/>
          <w:sz w:val="24"/>
          <w:szCs w:val="24"/>
          <w:lang w:eastAsia="ru-RU"/>
        </w:rPr>
        <w:t xml:space="preserve">Важной </w:t>
      </w:r>
      <w:r w:rsidR="00A069F5" w:rsidRPr="007917A1">
        <w:rPr>
          <w:rFonts w:ascii="Times New Roman" w:eastAsia="Times New Roman" w:hAnsi="Times New Roman" w:cs="Times New Roman"/>
          <w:sz w:val="24"/>
          <w:szCs w:val="24"/>
          <w:lang w:eastAsia="ru-RU"/>
        </w:rPr>
        <w:t>управленческ</w:t>
      </w:r>
      <w:r w:rsidRPr="007917A1">
        <w:rPr>
          <w:rFonts w:ascii="Times New Roman" w:eastAsia="Times New Roman" w:hAnsi="Times New Roman" w:cs="Times New Roman"/>
          <w:sz w:val="24"/>
          <w:szCs w:val="24"/>
          <w:lang w:eastAsia="ru-RU"/>
        </w:rPr>
        <w:t>о</w:t>
      </w:r>
      <w:r w:rsidR="00A13EE8" w:rsidRPr="007917A1">
        <w:rPr>
          <w:rFonts w:ascii="Times New Roman" w:eastAsia="Times New Roman" w:hAnsi="Times New Roman" w:cs="Times New Roman"/>
          <w:sz w:val="24"/>
          <w:szCs w:val="24"/>
          <w:lang w:eastAsia="ru-RU"/>
        </w:rPr>
        <w:t>й</w:t>
      </w:r>
      <w:r w:rsidR="00A069F5" w:rsidRPr="007917A1">
        <w:rPr>
          <w:rFonts w:ascii="Times New Roman" w:eastAsia="Times New Roman" w:hAnsi="Times New Roman" w:cs="Times New Roman"/>
          <w:sz w:val="24"/>
          <w:szCs w:val="24"/>
          <w:lang w:eastAsia="ru-RU"/>
        </w:rPr>
        <w:t xml:space="preserve"> </w:t>
      </w:r>
      <w:r w:rsidR="000060D5" w:rsidRPr="007917A1">
        <w:rPr>
          <w:rFonts w:ascii="Times New Roman" w:eastAsia="Times New Roman" w:hAnsi="Times New Roman" w:cs="Times New Roman"/>
          <w:sz w:val="24"/>
          <w:szCs w:val="24"/>
          <w:lang w:eastAsia="ru-RU"/>
        </w:rPr>
        <w:t>реакци</w:t>
      </w:r>
      <w:r w:rsidRPr="007917A1">
        <w:rPr>
          <w:rFonts w:ascii="Times New Roman" w:eastAsia="Times New Roman" w:hAnsi="Times New Roman" w:cs="Times New Roman"/>
          <w:sz w:val="24"/>
          <w:szCs w:val="24"/>
          <w:lang w:eastAsia="ru-RU"/>
        </w:rPr>
        <w:t>е</w:t>
      </w:r>
      <w:r w:rsidR="000060D5" w:rsidRPr="007917A1">
        <w:rPr>
          <w:rFonts w:ascii="Times New Roman" w:eastAsia="Times New Roman" w:hAnsi="Times New Roman" w:cs="Times New Roman"/>
          <w:sz w:val="24"/>
          <w:szCs w:val="24"/>
          <w:lang w:eastAsia="ru-RU"/>
        </w:rPr>
        <w:t xml:space="preserve">й </w:t>
      </w:r>
      <w:r w:rsidRPr="007917A1">
        <w:rPr>
          <w:rFonts w:ascii="Times New Roman" w:eastAsia="Times New Roman" w:hAnsi="Times New Roman" w:cs="Times New Roman"/>
          <w:sz w:val="24"/>
          <w:szCs w:val="24"/>
          <w:lang w:eastAsia="ru-RU"/>
        </w:rPr>
        <w:t xml:space="preserve">мирового сообщества </w:t>
      </w:r>
      <w:r w:rsidR="000060D5" w:rsidRPr="007917A1">
        <w:rPr>
          <w:rFonts w:ascii="Times New Roman" w:eastAsia="Times New Roman" w:hAnsi="Times New Roman" w:cs="Times New Roman"/>
          <w:sz w:val="24"/>
          <w:szCs w:val="24"/>
          <w:lang w:eastAsia="ru-RU"/>
        </w:rPr>
        <w:t xml:space="preserve">на </w:t>
      </w:r>
      <w:r w:rsidR="00A069F5" w:rsidRPr="007917A1">
        <w:rPr>
          <w:rFonts w:ascii="Times New Roman" w:eastAsia="Times New Roman" w:hAnsi="Times New Roman" w:cs="Times New Roman"/>
          <w:sz w:val="24"/>
          <w:szCs w:val="24"/>
          <w:lang w:eastAsia="ru-RU"/>
        </w:rPr>
        <w:t xml:space="preserve">этот </w:t>
      </w:r>
      <w:r w:rsidR="000060D5" w:rsidRPr="007917A1">
        <w:rPr>
          <w:rFonts w:ascii="Times New Roman" w:eastAsia="Times New Roman" w:hAnsi="Times New Roman" w:cs="Times New Roman"/>
          <w:sz w:val="24"/>
          <w:szCs w:val="24"/>
          <w:lang w:eastAsia="ru-RU"/>
        </w:rPr>
        <w:t>кризис</w:t>
      </w:r>
      <w:r w:rsidR="00A069F5" w:rsidRPr="007917A1">
        <w:rPr>
          <w:rFonts w:ascii="Times New Roman" w:eastAsia="Times New Roman" w:hAnsi="Times New Roman" w:cs="Times New Roman"/>
          <w:sz w:val="24"/>
          <w:szCs w:val="24"/>
          <w:lang w:eastAsia="ru-RU"/>
        </w:rPr>
        <w:t xml:space="preserve"> </w:t>
      </w:r>
      <w:r w:rsidR="000060D5" w:rsidRPr="007917A1">
        <w:rPr>
          <w:rFonts w:ascii="Times New Roman" w:eastAsia="Times New Roman" w:hAnsi="Times New Roman" w:cs="Times New Roman"/>
          <w:sz w:val="24"/>
          <w:szCs w:val="24"/>
          <w:lang w:eastAsia="ru-RU"/>
        </w:rPr>
        <w:t xml:space="preserve">явилось повышение нормативов достаточности капитала и ужесточение требований к внутренним процедурам оценки достаточности капитала банков, нашедшие отражение в обновленном своде банковских стандартов </w:t>
      </w:r>
      <w:proofErr w:type="spellStart"/>
      <w:r w:rsidR="000060D5" w:rsidRPr="007917A1">
        <w:rPr>
          <w:rFonts w:ascii="Times New Roman" w:eastAsia="Times New Roman" w:hAnsi="Times New Roman" w:cs="Times New Roman"/>
          <w:sz w:val="24"/>
          <w:szCs w:val="24"/>
          <w:lang w:eastAsia="ru-RU"/>
        </w:rPr>
        <w:t>Basel</w:t>
      </w:r>
      <w:proofErr w:type="spellEnd"/>
      <w:r w:rsidR="000060D5" w:rsidRPr="007917A1">
        <w:rPr>
          <w:rFonts w:ascii="Times New Roman" w:eastAsia="Times New Roman" w:hAnsi="Times New Roman" w:cs="Times New Roman"/>
          <w:sz w:val="24"/>
          <w:szCs w:val="24"/>
          <w:lang w:eastAsia="ru-RU"/>
        </w:rPr>
        <w:t xml:space="preserve"> III, которые могут существенно повлиять на динамику рынка недвижимости за счёт более консервативной политики банков при кредитовании</w:t>
      </w:r>
      <w:r w:rsidR="007C3D2D" w:rsidRPr="007917A1">
        <w:rPr>
          <w:rFonts w:ascii="Times New Roman" w:eastAsia="Times New Roman" w:hAnsi="Times New Roman" w:cs="Times New Roman"/>
          <w:sz w:val="24"/>
          <w:szCs w:val="24"/>
          <w:lang w:eastAsia="ru-RU"/>
        </w:rPr>
        <w:t>, в том числе</w:t>
      </w:r>
      <w:r w:rsidR="000060D5" w:rsidRPr="007917A1">
        <w:rPr>
          <w:rFonts w:ascii="Times New Roman" w:eastAsia="Times New Roman" w:hAnsi="Times New Roman" w:cs="Times New Roman"/>
          <w:sz w:val="24"/>
          <w:szCs w:val="24"/>
          <w:lang w:eastAsia="ru-RU"/>
        </w:rPr>
        <w:t xml:space="preserve"> под залог недвижимости</w:t>
      </w:r>
      <w:r w:rsidR="00D13E2E" w:rsidRPr="007917A1">
        <w:rPr>
          <w:rFonts w:ascii="Times New Roman" w:eastAsia="Times New Roman" w:hAnsi="Times New Roman" w:cs="Times New Roman"/>
          <w:sz w:val="24"/>
          <w:szCs w:val="24"/>
          <w:lang w:eastAsia="ru-RU"/>
        </w:rPr>
        <w:t xml:space="preserve"> [</w:t>
      </w:r>
      <w:r w:rsidR="007C3D2D" w:rsidRPr="007917A1">
        <w:rPr>
          <w:rFonts w:ascii="Times New Roman" w:eastAsia="Times New Roman" w:hAnsi="Times New Roman" w:cs="Times New Roman"/>
          <w:sz w:val="24"/>
          <w:szCs w:val="24"/>
          <w:lang w:eastAsia="ru-RU"/>
        </w:rPr>
        <w:fldChar w:fldCharType="begin"/>
      </w:r>
      <w:r w:rsidR="007C3D2D" w:rsidRPr="007917A1">
        <w:rPr>
          <w:rFonts w:ascii="Times New Roman" w:eastAsia="Times New Roman" w:hAnsi="Times New Roman" w:cs="Times New Roman"/>
          <w:sz w:val="24"/>
          <w:szCs w:val="24"/>
          <w:lang w:eastAsia="ru-RU"/>
        </w:rPr>
        <w:instrText xml:space="preserve"> REF _Ref529200331 \r \h </w:instrText>
      </w:r>
      <w:r w:rsidR="007C3D2D" w:rsidRPr="007917A1">
        <w:rPr>
          <w:rFonts w:ascii="Times New Roman" w:eastAsia="Times New Roman" w:hAnsi="Times New Roman" w:cs="Times New Roman"/>
          <w:sz w:val="24"/>
          <w:szCs w:val="24"/>
          <w:lang w:eastAsia="ru-RU"/>
        </w:rPr>
      </w:r>
      <w:r w:rsidR="007917A1">
        <w:rPr>
          <w:rFonts w:ascii="Times New Roman" w:eastAsia="Times New Roman" w:hAnsi="Times New Roman" w:cs="Times New Roman"/>
          <w:sz w:val="24"/>
          <w:szCs w:val="24"/>
          <w:lang w:eastAsia="ru-RU"/>
        </w:rPr>
        <w:instrText xml:space="preserve"> \* MERGEFORMAT </w:instrText>
      </w:r>
      <w:r w:rsidR="007C3D2D" w:rsidRPr="007917A1">
        <w:rPr>
          <w:rFonts w:ascii="Times New Roman" w:eastAsia="Times New Roman" w:hAnsi="Times New Roman" w:cs="Times New Roman"/>
          <w:sz w:val="24"/>
          <w:szCs w:val="24"/>
          <w:lang w:eastAsia="ru-RU"/>
        </w:rPr>
        <w:fldChar w:fldCharType="separate"/>
      </w:r>
      <w:r w:rsidR="008E4DB6" w:rsidRPr="007917A1">
        <w:rPr>
          <w:rFonts w:ascii="Times New Roman" w:eastAsia="Times New Roman" w:hAnsi="Times New Roman" w:cs="Times New Roman"/>
          <w:sz w:val="24"/>
          <w:szCs w:val="24"/>
          <w:lang w:eastAsia="ru-RU"/>
        </w:rPr>
        <w:t>2</w:t>
      </w:r>
      <w:r w:rsidR="007C3D2D" w:rsidRPr="007917A1">
        <w:rPr>
          <w:rFonts w:ascii="Times New Roman" w:eastAsia="Times New Roman" w:hAnsi="Times New Roman" w:cs="Times New Roman"/>
          <w:sz w:val="24"/>
          <w:szCs w:val="24"/>
          <w:lang w:eastAsia="ru-RU"/>
        </w:rPr>
        <w:fldChar w:fldCharType="end"/>
      </w:r>
      <w:r w:rsidR="00D13E2E" w:rsidRPr="007917A1">
        <w:rPr>
          <w:rFonts w:ascii="Times New Roman" w:eastAsia="Times New Roman" w:hAnsi="Times New Roman" w:cs="Times New Roman"/>
          <w:sz w:val="24"/>
          <w:szCs w:val="24"/>
          <w:lang w:eastAsia="ru-RU"/>
        </w:rPr>
        <w:t>]</w:t>
      </w:r>
      <w:r w:rsidR="000D58A4" w:rsidRPr="007917A1">
        <w:rPr>
          <w:rFonts w:ascii="Times New Roman" w:eastAsia="Times New Roman" w:hAnsi="Times New Roman" w:cs="Times New Roman"/>
          <w:sz w:val="24"/>
          <w:szCs w:val="24"/>
          <w:lang w:eastAsia="ru-RU"/>
        </w:rPr>
        <w:t>, [</w:t>
      </w:r>
      <w:r w:rsidR="000D58A4" w:rsidRPr="007917A1">
        <w:rPr>
          <w:rFonts w:ascii="Times New Roman" w:eastAsia="Times New Roman" w:hAnsi="Times New Roman" w:cs="Times New Roman"/>
          <w:sz w:val="24"/>
          <w:szCs w:val="24"/>
          <w:lang w:eastAsia="ru-RU"/>
        </w:rPr>
        <w:fldChar w:fldCharType="begin"/>
      </w:r>
      <w:r w:rsidR="000D58A4" w:rsidRPr="007917A1">
        <w:rPr>
          <w:rFonts w:ascii="Times New Roman" w:eastAsia="Times New Roman" w:hAnsi="Times New Roman" w:cs="Times New Roman"/>
          <w:sz w:val="24"/>
          <w:szCs w:val="24"/>
          <w:lang w:eastAsia="ru-RU"/>
        </w:rPr>
        <w:instrText xml:space="preserve"> REF _Ref529202634 \r \h </w:instrText>
      </w:r>
      <w:r w:rsidR="000D58A4" w:rsidRPr="007917A1">
        <w:rPr>
          <w:rFonts w:ascii="Times New Roman" w:eastAsia="Times New Roman" w:hAnsi="Times New Roman" w:cs="Times New Roman"/>
          <w:sz w:val="24"/>
          <w:szCs w:val="24"/>
          <w:lang w:eastAsia="ru-RU"/>
        </w:rPr>
      </w:r>
      <w:r w:rsidR="007917A1">
        <w:rPr>
          <w:rFonts w:ascii="Times New Roman" w:eastAsia="Times New Roman" w:hAnsi="Times New Roman" w:cs="Times New Roman"/>
          <w:sz w:val="24"/>
          <w:szCs w:val="24"/>
          <w:lang w:eastAsia="ru-RU"/>
        </w:rPr>
        <w:instrText xml:space="preserve"> \* MERGEFORMAT </w:instrText>
      </w:r>
      <w:r w:rsidR="000D58A4" w:rsidRPr="007917A1">
        <w:rPr>
          <w:rFonts w:ascii="Times New Roman" w:eastAsia="Times New Roman" w:hAnsi="Times New Roman" w:cs="Times New Roman"/>
          <w:sz w:val="24"/>
          <w:szCs w:val="24"/>
          <w:lang w:eastAsia="ru-RU"/>
        </w:rPr>
        <w:fldChar w:fldCharType="separate"/>
      </w:r>
      <w:r w:rsidR="008E4DB6" w:rsidRPr="007917A1">
        <w:rPr>
          <w:rFonts w:ascii="Times New Roman" w:eastAsia="Times New Roman" w:hAnsi="Times New Roman" w:cs="Times New Roman"/>
          <w:sz w:val="24"/>
          <w:szCs w:val="24"/>
          <w:lang w:eastAsia="ru-RU"/>
        </w:rPr>
        <w:t>3</w:t>
      </w:r>
      <w:r w:rsidR="000D58A4" w:rsidRPr="007917A1">
        <w:rPr>
          <w:rFonts w:ascii="Times New Roman" w:eastAsia="Times New Roman" w:hAnsi="Times New Roman" w:cs="Times New Roman"/>
          <w:sz w:val="24"/>
          <w:szCs w:val="24"/>
          <w:lang w:eastAsia="ru-RU"/>
        </w:rPr>
        <w:fldChar w:fldCharType="end"/>
      </w:r>
      <w:r w:rsidR="000D58A4" w:rsidRPr="007917A1">
        <w:rPr>
          <w:rFonts w:ascii="Times New Roman" w:eastAsia="Times New Roman" w:hAnsi="Times New Roman" w:cs="Times New Roman"/>
          <w:sz w:val="24"/>
          <w:szCs w:val="24"/>
          <w:lang w:eastAsia="ru-RU"/>
        </w:rPr>
        <w:t>]</w:t>
      </w:r>
      <w:r w:rsidR="004C4890" w:rsidRPr="007917A1">
        <w:rPr>
          <w:rFonts w:ascii="Times New Roman" w:eastAsia="Times New Roman" w:hAnsi="Times New Roman" w:cs="Times New Roman"/>
          <w:sz w:val="24"/>
          <w:szCs w:val="24"/>
          <w:lang w:eastAsia="ru-RU"/>
        </w:rPr>
        <w:t>, [</w:t>
      </w:r>
      <w:r w:rsidR="004C4890" w:rsidRPr="007917A1">
        <w:rPr>
          <w:rFonts w:ascii="Times New Roman" w:eastAsia="Times New Roman" w:hAnsi="Times New Roman" w:cs="Times New Roman"/>
          <w:sz w:val="24"/>
          <w:szCs w:val="24"/>
          <w:lang w:eastAsia="ru-RU"/>
        </w:rPr>
        <w:fldChar w:fldCharType="begin"/>
      </w:r>
      <w:r w:rsidR="004C4890" w:rsidRPr="007917A1">
        <w:rPr>
          <w:rFonts w:ascii="Times New Roman" w:eastAsia="Times New Roman" w:hAnsi="Times New Roman" w:cs="Times New Roman"/>
          <w:sz w:val="24"/>
          <w:szCs w:val="24"/>
          <w:lang w:eastAsia="ru-RU"/>
        </w:rPr>
        <w:instrText xml:space="preserve"> REF _Ref529205185 \r \h </w:instrText>
      </w:r>
      <w:r w:rsidR="004C4890" w:rsidRPr="007917A1">
        <w:rPr>
          <w:rFonts w:ascii="Times New Roman" w:eastAsia="Times New Roman" w:hAnsi="Times New Roman" w:cs="Times New Roman"/>
          <w:sz w:val="24"/>
          <w:szCs w:val="24"/>
          <w:lang w:eastAsia="ru-RU"/>
        </w:rPr>
      </w:r>
      <w:r w:rsidR="007917A1">
        <w:rPr>
          <w:rFonts w:ascii="Times New Roman" w:eastAsia="Times New Roman" w:hAnsi="Times New Roman" w:cs="Times New Roman"/>
          <w:sz w:val="24"/>
          <w:szCs w:val="24"/>
          <w:lang w:eastAsia="ru-RU"/>
        </w:rPr>
        <w:instrText xml:space="preserve"> \* MERGEFORMAT </w:instrText>
      </w:r>
      <w:r w:rsidR="004C4890" w:rsidRPr="007917A1">
        <w:rPr>
          <w:rFonts w:ascii="Times New Roman" w:eastAsia="Times New Roman" w:hAnsi="Times New Roman" w:cs="Times New Roman"/>
          <w:sz w:val="24"/>
          <w:szCs w:val="24"/>
          <w:lang w:eastAsia="ru-RU"/>
        </w:rPr>
        <w:fldChar w:fldCharType="separate"/>
      </w:r>
      <w:r w:rsidR="008E4DB6" w:rsidRPr="007917A1">
        <w:rPr>
          <w:rFonts w:ascii="Times New Roman" w:eastAsia="Times New Roman" w:hAnsi="Times New Roman" w:cs="Times New Roman"/>
          <w:sz w:val="24"/>
          <w:szCs w:val="24"/>
          <w:lang w:eastAsia="ru-RU"/>
        </w:rPr>
        <w:t>4</w:t>
      </w:r>
      <w:r w:rsidR="004C4890" w:rsidRPr="007917A1">
        <w:rPr>
          <w:rFonts w:ascii="Times New Roman" w:eastAsia="Times New Roman" w:hAnsi="Times New Roman" w:cs="Times New Roman"/>
          <w:sz w:val="24"/>
          <w:szCs w:val="24"/>
          <w:lang w:eastAsia="ru-RU"/>
        </w:rPr>
        <w:fldChar w:fldCharType="end"/>
      </w:r>
      <w:r w:rsidR="004C4890" w:rsidRPr="007917A1">
        <w:rPr>
          <w:rFonts w:ascii="Times New Roman" w:eastAsia="Times New Roman" w:hAnsi="Times New Roman" w:cs="Times New Roman"/>
          <w:sz w:val="24"/>
          <w:szCs w:val="24"/>
          <w:lang w:eastAsia="ru-RU"/>
        </w:rPr>
        <w:t>]</w:t>
      </w:r>
      <w:r w:rsidR="000060D5" w:rsidRPr="007917A1">
        <w:rPr>
          <w:rFonts w:ascii="Times New Roman" w:eastAsia="Times New Roman" w:hAnsi="Times New Roman" w:cs="Times New Roman"/>
          <w:sz w:val="24"/>
          <w:szCs w:val="24"/>
          <w:lang w:eastAsia="ru-RU"/>
        </w:rPr>
        <w:t xml:space="preserve">. </w:t>
      </w:r>
      <w:r w:rsidR="006031E5" w:rsidRPr="007917A1">
        <w:rPr>
          <w:rFonts w:ascii="Times New Roman" w:eastAsia="Times New Roman" w:hAnsi="Times New Roman" w:cs="Times New Roman"/>
          <w:sz w:val="24"/>
          <w:szCs w:val="24"/>
          <w:lang w:eastAsia="ru-RU"/>
        </w:rPr>
        <w:t xml:space="preserve"> </w:t>
      </w:r>
    </w:p>
    <w:p w:rsidR="007E6553" w:rsidRPr="007917A1" w:rsidRDefault="007E6553" w:rsidP="004B41CB">
      <w:pPr>
        <w:spacing w:before="120" w:after="0" w:line="360" w:lineRule="auto"/>
        <w:jc w:val="both"/>
        <w:rPr>
          <w:rFonts w:ascii="Times New Roman" w:eastAsia="Times New Roman" w:hAnsi="Times New Roman" w:cs="Times New Roman"/>
          <w:sz w:val="24"/>
          <w:szCs w:val="24"/>
          <w:lang w:eastAsia="ru-RU"/>
        </w:rPr>
      </w:pPr>
      <w:r w:rsidRPr="007917A1">
        <w:rPr>
          <w:rFonts w:ascii="Times New Roman" w:eastAsia="Times New Roman" w:hAnsi="Times New Roman" w:cs="Times New Roman"/>
          <w:sz w:val="24"/>
          <w:szCs w:val="24"/>
          <w:lang w:eastAsia="ru-RU"/>
        </w:rPr>
        <w:t xml:space="preserve">Вместе с тем, признание </w:t>
      </w:r>
      <w:r w:rsidR="00B52E9F" w:rsidRPr="007917A1">
        <w:rPr>
          <w:rFonts w:ascii="Times New Roman" w:eastAsia="Times New Roman" w:hAnsi="Times New Roman" w:cs="Times New Roman"/>
          <w:sz w:val="24"/>
          <w:szCs w:val="24"/>
          <w:lang w:eastAsia="ru-RU"/>
        </w:rPr>
        <w:t xml:space="preserve">со стороны банковских регуляторов </w:t>
      </w:r>
      <w:r w:rsidRPr="007917A1">
        <w:rPr>
          <w:rFonts w:ascii="Times New Roman" w:eastAsia="Times New Roman" w:hAnsi="Times New Roman" w:cs="Times New Roman"/>
          <w:sz w:val="24"/>
          <w:szCs w:val="24"/>
          <w:lang w:eastAsia="ru-RU"/>
        </w:rPr>
        <w:t xml:space="preserve">наличия системной связи между </w:t>
      </w:r>
      <w:r w:rsidR="00F26726" w:rsidRPr="007917A1">
        <w:rPr>
          <w:rFonts w:ascii="Times New Roman" w:eastAsia="Times New Roman" w:hAnsi="Times New Roman" w:cs="Times New Roman"/>
          <w:sz w:val="24"/>
          <w:szCs w:val="24"/>
          <w:lang w:eastAsia="ru-RU"/>
        </w:rPr>
        <w:t xml:space="preserve">состоянием </w:t>
      </w:r>
      <w:r w:rsidRPr="007917A1">
        <w:rPr>
          <w:rFonts w:ascii="Times New Roman" w:eastAsia="Times New Roman" w:hAnsi="Times New Roman" w:cs="Times New Roman"/>
          <w:sz w:val="24"/>
          <w:szCs w:val="24"/>
          <w:lang w:eastAsia="ru-RU"/>
        </w:rPr>
        <w:t xml:space="preserve">рынка недвижимости и стабильностью финансовой системы не ограничивается </w:t>
      </w:r>
      <w:r w:rsidR="007B15F8" w:rsidRPr="007917A1">
        <w:rPr>
          <w:rFonts w:ascii="Times New Roman" w:eastAsia="Times New Roman" w:hAnsi="Times New Roman" w:cs="Times New Roman"/>
          <w:sz w:val="24"/>
          <w:szCs w:val="24"/>
          <w:lang w:eastAsia="ru-RU"/>
        </w:rPr>
        <w:t>пересмотром нормативов при кредитовании под залог недвижимости (</w:t>
      </w:r>
      <w:r w:rsidR="000C6AE6" w:rsidRPr="007917A1">
        <w:rPr>
          <w:rFonts w:ascii="Times New Roman" w:eastAsia="Times New Roman" w:hAnsi="Times New Roman" w:cs="Times New Roman"/>
          <w:sz w:val="24"/>
          <w:szCs w:val="24"/>
          <w:lang w:eastAsia="ru-RU"/>
        </w:rPr>
        <w:t>а также при</w:t>
      </w:r>
      <w:r w:rsidR="007B15F8" w:rsidRPr="007917A1">
        <w:rPr>
          <w:rFonts w:ascii="Times New Roman" w:eastAsia="Times New Roman" w:hAnsi="Times New Roman" w:cs="Times New Roman"/>
          <w:sz w:val="24"/>
          <w:szCs w:val="24"/>
          <w:lang w:eastAsia="ru-RU"/>
        </w:rPr>
        <w:t xml:space="preserve"> структурировании сложных финансовых продуктов с преимущественной долей недвижимости в качестве обеспечения)</w:t>
      </w:r>
      <w:r w:rsidR="00B52E9F" w:rsidRPr="007917A1">
        <w:rPr>
          <w:rFonts w:ascii="Times New Roman" w:eastAsia="Times New Roman" w:hAnsi="Times New Roman" w:cs="Times New Roman"/>
          <w:sz w:val="24"/>
          <w:szCs w:val="24"/>
          <w:lang w:eastAsia="ru-RU"/>
        </w:rPr>
        <w:t>.</w:t>
      </w:r>
      <w:r w:rsidR="007B15F8" w:rsidRPr="007917A1">
        <w:rPr>
          <w:rFonts w:ascii="Times New Roman" w:eastAsia="Times New Roman" w:hAnsi="Times New Roman" w:cs="Times New Roman"/>
          <w:sz w:val="24"/>
          <w:szCs w:val="24"/>
          <w:lang w:eastAsia="ru-RU"/>
        </w:rPr>
        <w:t xml:space="preserve"> </w:t>
      </w:r>
      <w:r w:rsidR="00B52E9F" w:rsidRPr="007917A1">
        <w:rPr>
          <w:rFonts w:ascii="Times New Roman" w:eastAsia="Times New Roman" w:hAnsi="Times New Roman" w:cs="Times New Roman"/>
          <w:sz w:val="24"/>
          <w:szCs w:val="24"/>
          <w:lang w:eastAsia="ru-RU"/>
        </w:rPr>
        <w:t>Р</w:t>
      </w:r>
      <w:r w:rsidR="007B15F8" w:rsidRPr="007917A1">
        <w:rPr>
          <w:rFonts w:ascii="Times New Roman" w:eastAsia="Times New Roman" w:hAnsi="Times New Roman" w:cs="Times New Roman"/>
          <w:sz w:val="24"/>
          <w:szCs w:val="24"/>
          <w:lang w:eastAsia="ru-RU"/>
        </w:rPr>
        <w:t>егулятор</w:t>
      </w:r>
      <w:r w:rsidR="00B52E9F" w:rsidRPr="007917A1">
        <w:rPr>
          <w:rFonts w:ascii="Times New Roman" w:eastAsia="Times New Roman" w:hAnsi="Times New Roman" w:cs="Times New Roman"/>
          <w:sz w:val="24"/>
          <w:szCs w:val="24"/>
          <w:lang w:eastAsia="ru-RU"/>
        </w:rPr>
        <w:t>ы,</w:t>
      </w:r>
      <w:r w:rsidR="007B15F8" w:rsidRPr="007917A1">
        <w:rPr>
          <w:rFonts w:ascii="Times New Roman" w:eastAsia="Times New Roman" w:hAnsi="Times New Roman" w:cs="Times New Roman"/>
          <w:sz w:val="24"/>
          <w:szCs w:val="24"/>
          <w:lang w:eastAsia="ru-RU"/>
        </w:rPr>
        <w:t xml:space="preserve"> как системны</w:t>
      </w:r>
      <w:r w:rsidR="00B52E9F" w:rsidRPr="007917A1">
        <w:rPr>
          <w:rFonts w:ascii="Times New Roman" w:eastAsia="Times New Roman" w:hAnsi="Times New Roman" w:cs="Times New Roman"/>
          <w:sz w:val="24"/>
          <w:szCs w:val="24"/>
          <w:lang w:eastAsia="ru-RU"/>
        </w:rPr>
        <w:t>е</w:t>
      </w:r>
      <w:r w:rsidR="007B15F8" w:rsidRPr="007917A1">
        <w:rPr>
          <w:rFonts w:ascii="Times New Roman" w:eastAsia="Times New Roman" w:hAnsi="Times New Roman" w:cs="Times New Roman"/>
          <w:sz w:val="24"/>
          <w:szCs w:val="24"/>
          <w:lang w:eastAsia="ru-RU"/>
        </w:rPr>
        <w:t xml:space="preserve"> заказчик</w:t>
      </w:r>
      <w:r w:rsidR="00B52E9F" w:rsidRPr="007917A1">
        <w:rPr>
          <w:rFonts w:ascii="Times New Roman" w:eastAsia="Times New Roman" w:hAnsi="Times New Roman" w:cs="Times New Roman"/>
          <w:sz w:val="24"/>
          <w:szCs w:val="24"/>
          <w:lang w:eastAsia="ru-RU"/>
        </w:rPr>
        <w:t>и</w:t>
      </w:r>
      <w:r w:rsidR="007B15F8" w:rsidRPr="007917A1">
        <w:rPr>
          <w:rFonts w:ascii="Times New Roman" w:eastAsia="Times New Roman" w:hAnsi="Times New Roman" w:cs="Times New Roman"/>
          <w:sz w:val="24"/>
          <w:szCs w:val="24"/>
          <w:lang w:eastAsia="ru-RU"/>
        </w:rPr>
        <w:t xml:space="preserve"> академическ</w:t>
      </w:r>
      <w:r w:rsidR="00B52E9F" w:rsidRPr="007917A1">
        <w:rPr>
          <w:rFonts w:ascii="Times New Roman" w:eastAsia="Times New Roman" w:hAnsi="Times New Roman" w:cs="Times New Roman"/>
          <w:sz w:val="24"/>
          <w:szCs w:val="24"/>
          <w:lang w:eastAsia="ru-RU"/>
        </w:rPr>
        <w:t>их</w:t>
      </w:r>
      <w:r w:rsidR="007B15F8" w:rsidRPr="007917A1">
        <w:rPr>
          <w:rFonts w:ascii="Times New Roman" w:eastAsia="Times New Roman" w:hAnsi="Times New Roman" w:cs="Times New Roman"/>
          <w:sz w:val="24"/>
          <w:szCs w:val="24"/>
          <w:lang w:eastAsia="ru-RU"/>
        </w:rPr>
        <w:t xml:space="preserve"> исследовани</w:t>
      </w:r>
      <w:r w:rsidR="00B52E9F" w:rsidRPr="007917A1">
        <w:rPr>
          <w:rFonts w:ascii="Times New Roman" w:eastAsia="Times New Roman" w:hAnsi="Times New Roman" w:cs="Times New Roman"/>
          <w:sz w:val="24"/>
          <w:szCs w:val="24"/>
          <w:lang w:eastAsia="ru-RU"/>
        </w:rPr>
        <w:t>й</w:t>
      </w:r>
      <w:r w:rsidR="007B15F8" w:rsidRPr="007917A1">
        <w:rPr>
          <w:rFonts w:ascii="Times New Roman" w:eastAsia="Times New Roman" w:hAnsi="Times New Roman" w:cs="Times New Roman"/>
          <w:sz w:val="24"/>
          <w:szCs w:val="24"/>
          <w:lang w:eastAsia="ru-RU"/>
        </w:rPr>
        <w:t xml:space="preserve"> рынков недвижимости в их неразрывной связи с финансовым сектором</w:t>
      </w:r>
      <w:r w:rsidR="00B52E9F" w:rsidRPr="007917A1">
        <w:rPr>
          <w:rFonts w:ascii="Times New Roman" w:eastAsia="Times New Roman" w:hAnsi="Times New Roman" w:cs="Times New Roman"/>
          <w:sz w:val="24"/>
          <w:szCs w:val="24"/>
          <w:lang w:eastAsia="ru-RU"/>
        </w:rPr>
        <w:t>,</w:t>
      </w:r>
      <w:r w:rsidR="007B15F8" w:rsidRPr="007917A1">
        <w:rPr>
          <w:rFonts w:ascii="Times New Roman" w:eastAsia="Times New Roman" w:hAnsi="Times New Roman" w:cs="Times New Roman"/>
          <w:sz w:val="24"/>
          <w:szCs w:val="24"/>
          <w:lang w:eastAsia="ru-RU"/>
        </w:rPr>
        <w:t xml:space="preserve"> </w:t>
      </w:r>
      <w:r w:rsidR="00B52E9F" w:rsidRPr="007917A1">
        <w:rPr>
          <w:rFonts w:ascii="Times New Roman" w:eastAsia="Times New Roman" w:hAnsi="Times New Roman" w:cs="Times New Roman"/>
          <w:sz w:val="24"/>
          <w:szCs w:val="24"/>
          <w:lang w:eastAsia="ru-RU"/>
        </w:rPr>
        <w:t xml:space="preserve">понимают, что </w:t>
      </w:r>
      <w:r w:rsidR="007B15F8" w:rsidRPr="007917A1">
        <w:rPr>
          <w:rFonts w:ascii="Times New Roman" w:eastAsia="Times New Roman" w:hAnsi="Times New Roman" w:cs="Times New Roman"/>
          <w:sz w:val="24"/>
          <w:szCs w:val="24"/>
          <w:lang w:eastAsia="ru-RU"/>
        </w:rPr>
        <w:t>недвижимост</w:t>
      </w:r>
      <w:r w:rsidR="00B52E9F" w:rsidRPr="007917A1">
        <w:rPr>
          <w:rFonts w:ascii="Times New Roman" w:eastAsia="Times New Roman" w:hAnsi="Times New Roman" w:cs="Times New Roman"/>
          <w:sz w:val="24"/>
          <w:szCs w:val="24"/>
          <w:lang w:eastAsia="ru-RU"/>
        </w:rPr>
        <w:t>ь</w:t>
      </w:r>
      <w:r w:rsidR="007B15F8" w:rsidRPr="007917A1">
        <w:rPr>
          <w:rFonts w:ascii="Times New Roman" w:eastAsia="Times New Roman" w:hAnsi="Times New Roman" w:cs="Times New Roman"/>
          <w:sz w:val="24"/>
          <w:szCs w:val="24"/>
          <w:lang w:eastAsia="ru-RU"/>
        </w:rPr>
        <w:t xml:space="preserve"> как класс активов игра</w:t>
      </w:r>
      <w:r w:rsidR="00B52E9F" w:rsidRPr="007917A1">
        <w:rPr>
          <w:rFonts w:ascii="Times New Roman" w:eastAsia="Times New Roman" w:hAnsi="Times New Roman" w:cs="Times New Roman"/>
          <w:sz w:val="24"/>
          <w:szCs w:val="24"/>
          <w:lang w:eastAsia="ru-RU"/>
        </w:rPr>
        <w:t>ет</w:t>
      </w:r>
      <w:r w:rsidR="007B15F8" w:rsidRPr="007917A1">
        <w:rPr>
          <w:rFonts w:ascii="Times New Roman" w:eastAsia="Times New Roman" w:hAnsi="Times New Roman" w:cs="Times New Roman"/>
          <w:sz w:val="24"/>
          <w:szCs w:val="24"/>
          <w:lang w:eastAsia="ru-RU"/>
        </w:rPr>
        <w:t xml:space="preserve"> более существенную роль в системной стабильности финансового сектора, чем </w:t>
      </w:r>
      <w:r w:rsidR="00B52E9F" w:rsidRPr="007917A1">
        <w:rPr>
          <w:rFonts w:ascii="Times New Roman" w:eastAsia="Times New Roman" w:hAnsi="Times New Roman" w:cs="Times New Roman"/>
          <w:sz w:val="24"/>
          <w:szCs w:val="24"/>
          <w:lang w:eastAsia="ru-RU"/>
        </w:rPr>
        <w:t xml:space="preserve">было </w:t>
      </w:r>
      <w:r w:rsidR="007B15F8" w:rsidRPr="007917A1">
        <w:rPr>
          <w:rFonts w:ascii="Times New Roman" w:eastAsia="Times New Roman" w:hAnsi="Times New Roman" w:cs="Times New Roman"/>
          <w:sz w:val="24"/>
          <w:szCs w:val="24"/>
          <w:lang w:eastAsia="ru-RU"/>
        </w:rPr>
        <w:t>принято считать</w:t>
      </w:r>
      <w:r w:rsidR="00B52E9F" w:rsidRPr="007917A1">
        <w:rPr>
          <w:rFonts w:ascii="Times New Roman" w:eastAsia="Times New Roman" w:hAnsi="Times New Roman" w:cs="Times New Roman"/>
          <w:sz w:val="24"/>
          <w:szCs w:val="24"/>
          <w:lang w:eastAsia="ru-RU"/>
        </w:rPr>
        <w:t xml:space="preserve"> до последнего ипотечного финансового  кризиса в США</w:t>
      </w:r>
      <w:r w:rsidR="007B15F8" w:rsidRPr="007917A1">
        <w:rPr>
          <w:rFonts w:ascii="Times New Roman" w:eastAsia="Times New Roman" w:hAnsi="Times New Roman" w:cs="Times New Roman"/>
          <w:sz w:val="24"/>
          <w:szCs w:val="24"/>
          <w:lang w:eastAsia="ru-RU"/>
        </w:rPr>
        <w:t xml:space="preserve">. </w:t>
      </w:r>
      <w:r w:rsidR="004A3CC6" w:rsidRPr="007917A1">
        <w:rPr>
          <w:rFonts w:ascii="Times New Roman" w:eastAsia="Times New Roman" w:hAnsi="Times New Roman" w:cs="Times New Roman"/>
          <w:sz w:val="24"/>
          <w:szCs w:val="24"/>
          <w:lang w:eastAsia="ru-RU"/>
        </w:rPr>
        <w:t xml:space="preserve">Поэтому регуляторы (и банковское сообщество в целом) нуждаются в решении важной научно-практической задачи – </w:t>
      </w:r>
      <w:r w:rsidR="00C32D79" w:rsidRPr="007917A1">
        <w:rPr>
          <w:rFonts w:ascii="Times New Roman" w:eastAsia="Times New Roman" w:hAnsi="Times New Roman" w:cs="Times New Roman"/>
          <w:sz w:val="24"/>
          <w:szCs w:val="24"/>
          <w:lang w:eastAsia="ru-RU"/>
        </w:rPr>
        <w:t xml:space="preserve">определении </w:t>
      </w:r>
      <w:r w:rsidR="002651DA" w:rsidRPr="007917A1">
        <w:rPr>
          <w:rFonts w:ascii="Times New Roman" w:eastAsia="Times New Roman" w:hAnsi="Times New Roman" w:cs="Times New Roman"/>
          <w:sz w:val="24"/>
          <w:szCs w:val="24"/>
          <w:lang w:eastAsia="ru-RU"/>
        </w:rPr>
        <w:t xml:space="preserve">механизмов и </w:t>
      </w:r>
      <w:r w:rsidR="00C32D79" w:rsidRPr="007917A1">
        <w:rPr>
          <w:rFonts w:ascii="Times New Roman" w:eastAsia="Times New Roman" w:hAnsi="Times New Roman" w:cs="Times New Roman"/>
          <w:sz w:val="24"/>
          <w:szCs w:val="24"/>
          <w:lang w:eastAsia="ru-RU"/>
        </w:rPr>
        <w:t>степени влияния рыночной стоимости недвижимых активов банков на устойчивость финансовой системы.</w:t>
      </w:r>
    </w:p>
    <w:p w:rsidR="007B15F8" w:rsidRPr="007917A1" w:rsidRDefault="00DD13FB" w:rsidP="004B41CB">
      <w:pPr>
        <w:spacing w:before="120" w:after="0" w:line="360" w:lineRule="auto"/>
        <w:jc w:val="both"/>
        <w:rPr>
          <w:rFonts w:ascii="Times New Roman" w:eastAsia="Times New Roman" w:hAnsi="Times New Roman" w:cs="Times New Roman"/>
          <w:sz w:val="24"/>
          <w:szCs w:val="24"/>
          <w:lang w:eastAsia="ru-RU"/>
        </w:rPr>
      </w:pPr>
      <w:r w:rsidRPr="007917A1">
        <w:rPr>
          <w:rFonts w:ascii="Times New Roman" w:eastAsia="Times New Roman" w:hAnsi="Times New Roman" w:cs="Times New Roman"/>
          <w:sz w:val="24"/>
          <w:szCs w:val="24"/>
          <w:lang w:eastAsia="ru-RU"/>
        </w:rPr>
        <w:t>Дополнительным фактором, повышающим необходимость формирования более глубокого и системного понимания рынк</w:t>
      </w:r>
      <w:r w:rsidR="00B52E9F" w:rsidRPr="007917A1">
        <w:rPr>
          <w:rFonts w:ascii="Times New Roman" w:eastAsia="Times New Roman" w:hAnsi="Times New Roman" w:cs="Times New Roman"/>
          <w:sz w:val="24"/>
          <w:szCs w:val="24"/>
          <w:lang w:eastAsia="ru-RU"/>
        </w:rPr>
        <w:t xml:space="preserve">ов </w:t>
      </w:r>
      <w:r w:rsidRPr="007917A1">
        <w:rPr>
          <w:rFonts w:ascii="Times New Roman" w:eastAsia="Times New Roman" w:hAnsi="Times New Roman" w:cs="Times New Roman"/>
          <w:sz w:val="24"/>
          <w:szCs w:val="24"/>
          <w:lang w:eastAsia="ru-RU"/>
        </w:rPr>
        <w:t>недвижимости для целей регулирования банковского сектора</w:t>
      </w:r>
      <w:r w:rsidR="0051391A" w:rsidRPr="007917A1">
        <w:rPr>
          <w:rFonts w:ascii="Times New Roman" w:eastAsia="Times New Roman" w:hAnsi="Times New Roman" w:cs="Times New Roman"/>
          <w:sz w:val="24"/>
          <w:szCs w:val="24"/>
          <w:lang w:eastAsia="ru-RU"/>
        </w:rPr>
        <w:t>,</w:t>
      </w:r>
      <w:r w:rsidRPr="007917A1">
        <w:rPr>
          <w:rFonts w:ascii="Times New Roman" w:eastAsia="Times New Roman" w:hAnsi="Times New Roman" w:cs="Times New Roman"/>
          <w:sz w:val="24"/>
          <w:szCs w:val="24"/>
          <w:lang w:eastAsia="ru-RU"/>
        </w:rPr>
        <w:t xml:space="preserve"> является характеристика </w:t>
      </w:r>
      <w:r w:rsidR="005B7890" w:rsidRPr="007917A1">
        <w:rPr>
          <w:rFonts w:ascii="Times New Roman" w:eastAsia="Times New Roman" w:hAnsi="Times New Roman" w:cs="Times New Roman"/>
          <w:sz w:val="24"/>
          <w:szCs w:val="24"/>
          <w:lang w:eastAsia="ru-RU"/>
        </w:rPr>
        <w:t xml:space="preserve">указанных </w:t>
      </w:r>
      <w:r w:rsidRPr="007917A1">
        <w:rPr>
          <w:rFonts w:ascii="Times New Roman" w:eastAsia="Times New Roman" w:hAnsi="Times New Roman" w:cs="Times New Roman"/>
          <w:sz w:val="24"/>
          <w:szCs w:val="24"/>
          <w:lang w:eastAsia="ru-RU"/>
        </w:rPr>
        <w:t>рынков как преимущественно локальных, цикличных</w:t>
      </w:r>
      <w:r w:rsidR="005B7890" w:rsidRPr="007917A1">
        <w:rPr>
          <w:rFonts w:ascii="Times New Roman" w:eastAsia="Times New Roman" w:hAnsi="Times New Roman" w:cs="Times New Roman"/>
          <w:sz w:val="24"/>
          <w:szCs w:val="24"/>
          <w:lang w:eastAsia="ru-RU"/>
        </w:rPr>
        <w:t>,</w:t>
      </w:r>
      <w:r w:rsidRPr="007917A1">
        <w:rPr>
          <w:rFonts w:ascii="Times New Roman" w:eastAsia="Times New Roman" w:hAnsi="Times New Roman" w:cs="Times New Roman"/>
          <w:sz w:val="24"/>
          <w:szCs w:val="24"/>
          <w:lang w:eastAsia="ru-RU"/>
        </w:rPr>
        <w:t xml:space="preserve"> </w:t>
      </w:r>
      <w:r w:rsidR="00B52E9F" w:rsidRPr="007917A1">
        <w:rPr>
          <w:rFonts w:ascii="Times New Roman" w:eastAsia="Times New Roman" w:hAnsi="Times New Roman" w:cs="Times New Roman"/>
          <w:sz w:val="24"/>
          <w:szCs w:val="24"/>
          <w:lang w:eastAsia="ru-RU"/>
        </w:rPr>
        <w:t xml:space="preserve">отличающихся </w:t>
      </w:r>
      <w:r w:rsidRPr="007917A1">
        <w:rPr>
          <w:rFonts w:ascii="Times New Roman" w:eastAsia="Times New Roman" w:hAnsi="Times New Roman" w:cs="Times New Roman"/>
          <w:sz w:val="24"/>
          <w:szCs w:val="24"/>
          <w:lang w:eastAsia="ru-RU"/>
        </w:rPr>
        <w:t>относител</w:t>
      </w:r>
      <w:r w:rsidR="00176789" w:rsidRPr="007917A1">
        <w:rPr>
          <w:rFonts w:ascii="Times New Roman" w:eastAsia="Times New Roman" w:hAnsi="Times New Roman" w:cs="Times New Roman"/>
          <w:sz w:val="24"/>
          <w:szCs w:val="24"/>
          <w:lang w:eastAsia="ru-RU"/>
        </w:rPr>
        <w:t>ьно</w:t>
      </w:r>
      <w:r w:rsidR="00B52E9F" w:rsidRPr="007917A1">
        <w:rPr>
          <w:rFonts w:ascii="Times New Roman" w:eastAsia="Times New Roman" w:hAnsi="Times New Roman" w:cs="Times New Roman"/>
          <w:sz w:val="24"/>
          <w:szCs w:val="24"/>
          <w:lang w:eastAsia="ru-RU"/>
        </w:rPr>
        <w:t>й</w:t>
      </w:r>
      <w:r w:rsidR="00176789" w:rsidRPr="007917A1">
        <w:rPr>
          <w:rFonts w:ascii="Times New Roman" w:eastAsia="Times New Roman" w:hAnsi="Times New Roman" w:cs="Times New Roman"/>
          <w:sz w:val="24"/>
          <w:szCs w:val="24"/>
          <w:lang w:eastAsia="ru-RU"/>
        </w:rPr>
        <w:t xml:space="preserve"> неэластичность</w:t>
      </w:r>
      <w:r w:rsidR="0051391A" w:rsidRPr="007917A1">
        <w:rPr>
          <w:rFonts w:ascii="Times New Roman" w:eastAsia="Times New Roman" w:hAnsi="Times New Roman" w:cs="Times New Roman"/>
          <w:sz w:val="24"/>
          <w:szCs w:val="24"/>
          <w:lang w:eastAsia="ru-RU"/>
        </w:rPr>
        <w:t>ю</w:t>
      </w:r>
      <w:r w:rsidR="00176789" w:rsidRPr="007917A1">
        <w:rPr>
          <w:rFonts w:ascii="Times New Roman" w:eastAsia="Times New Roman" w:hAnsi="Times New Roman" w:cs="Times New Roman"/>
          <w:sz w:val="24"/>
          <w:szCs w:val="24"/>
          <w:lang w:eastAsia="ru-RU"/>
        </w:rPr>
        <w:t xml:space="preserve"> предложения</w:t>
      </w:r>
      <w:r w:rsidR="005B7890" w:rsidRPr="007917A1">
        <w:rPr>
          <w:rFonts w:ascii="Times New Roman" w:eastAsia="Times New Roman" w:hAnsi="Times New Roman" w:cs="Times New Roman"/>
          <w:sz w:val="24"/>
          <w:szCs w:val="24"/>
          <w:lang w:eastAsia="ru-RU"/>
        </w:rPr>
        <w:t xml:space="preserve"> и «</w:t>
      </w:r>
      <w:proofErr w:type="spellStart"/>
      <w:r w:rsidR="005B7890" w:rsidRPr="007917A1">
        <w:rPr>
          <w:rFonts w:ascii="Times New Roman" w:eastAsia="Times New Roman" w:hAnsi="Times New Roman" w:cs="Times New Roman"/>
          <w:sz w:val="24"/>
          <w:szCs w:val="24"/>
          <w:lang w:eastAsia="ru-RU"/>
        </w:rPr>
        <w:t>ассиметрией</w:t>
      </w:r>
      <w:proofErr w:type="spellEnd"/>
      <w:r w:rsidR="005B7890" w:rsidRPr="007917A1">
        <w:rPr>
          <w:rFonts w:ascii="Times New Roman" w:eastAsia="Times New Roman" w:hAnsi="Times New Roman" w:cs="Times New Roman"/>
          <w:sz w:val="24"/>
          <w:szCs w:val="24"/>
          <w:lang w:eastAsia="ru-RU"/>
        </w:rPr>
        <w:t>» информации о сделках,</w:t>
      </w:r>
      <w:r w:rsidR="00176789" w:rsidRPr="007917A1">
        <w:rPr>
          <w:rFonts w:ascii="Times New Roman" w:eastAsia="Times New Roman" w:hAnsi="Times New Roman" w:cs="Times New Roman"/>
          <w:sz w:val="24"/>
          <w:szCs w:val="24"/>
          <w:lang w:eastAsia="ru-RU"/>
        </w:rPr>
        <w:t xml:space="preserve"> что </w:t>
      </w:r>
      <w:r w:rsidR="005B7890" w:rsidRPr="007917A1">
        <w:rPr>
          <w:rFonts w:ascii="Times New Roman" w:eastAsia="Times New Roman" w:hAnsi="Times New Roman" w:cs="Times New Roman"/>
          <w:sz w:val="24"/>
          <w:szCs w:val="24"/>
          <w:lang w:eastAsia="ru-RU"/>
        </w:rPr>
        <w:t xml:space="preserve">существенно </w:t>
      </w:r>
      <w:r w:rsidR="00176789" w:rsidRPr="007917A1">
        <w:rPr>
          <w:rFonts w:ascii="Times New Roman" w:eastAsia="Times New Roman" w:hAnsi="Times New Roman" w:cs="Times New Roman"/>
          <w:sz w:val="24"/>
          <w:szCs w:val="24"/>
          <w:lang w:eastAsia="ru-RU"/>
        </w:rPr>
        <w:t>затрудняет выработку инструментов регулирования</w:t>
      </w:r>
      <w:r w:rsidR="00B52E9F" w:rsidRPr="007917A1">
        <w:rPr>
          <w:rFonts w:ascii="Times New Roman" w:eastAsia="Times New Roman" w:hAnsi="Times New Roman" w:cs="Times New Roman"/>
          <w:sz w:val="24"/>
          <w:szCs w:val="24"/>
          <w:lang w:eastAsia="ru-RU"/>
        </w:rPr>
        <w:t>,</w:t>
      </w:r>
      <w:r w:rsidR="00176789" w:rsidRPr="007917A1">
        <w:rPr>
          <w:rFonts w:ascii="Times New Roman" w:eastAsia="Times New Roman" w:hAnsi="Times New Roman" w:cs="Times New Roman"/>
          <w:sz w:val="24"/>
          <w:szCs w:val="24"/>
          <w:lang w:eastAsia="ru-RU"/>
        </w:rPr>
        <w:t xml:space="preserve"> в полной мере учитывающих сложность и </w:t>
      </w:r>
      <w:proofErr w:type="spellStart"/>
      <w:r w:rsidR="00176789" w:rsidRPr="007917A1">
        <w:rPr>
          <w:rFonts w:ascii="Times New Roman" w:eastAsia="Times New Roman" w:hAnsi="Times New Roman" w:cs="Times New Roman"/>
          <w:sz w:val="24"/>
          <w:szCs w:val="24"/>
          <w:lang w:eastAsia="ru-RU"/>
        </w:rPr>
        <w:t>сегментированность</w:t>
      </w:r>
      <w:proofErr w:type="spellEnd"/>
      <w:r w:rsidR="00176789" w:rsidRPr="007917A1">
        <w:rPr>
          <w:rFonts w:ascii="Times New Roman" w:eastAsia="Times New Roman" w:hAnsi="Times New Roman" w:cs="Times New Roman"/>
          <w:sz w:val="24"/>
          <w:szCs w:val="24"/>
          <w:lang w:eastAsia="ru-RU"/>
        </w:rPr>
        <w:t xml:space="preserve"> портфелей недвижимости банков и потенциальное воздействи</w:t>
      </w:r>
      <w:r w:rsidR="00090CF7" w:rsidRPr="007917A1">
        <w:rPr>
          <w:rFonts w:ascii="Times New Roman" w:eastAsia="Times New Roman" w:hAnsi="Times New Roman" w:cs="Times New Roman"/>
          <w:sz w:val="24"/>
          <w:szCs w:val="24"/>
          <w:lang w:eastAsia="ru-RU"/>
        </w:rPr>
        <w:t>е</w:t>
      </w:r>
      <w:r w:rsidR="00176789" w:rsidRPr="007917A1">
        <w:rPr>
          <w:rFonts w:ascii="Times New Roman" w:eastAsia="Times New Roman" w:hAnsi="Times New Roman" w:cs="Times New Roman"/>
          <w:sz w:val="24"/>
          <w:szCs w:val="24"/>
          <w:lang w:eastAsia="ru-RU"/>
        </w:rPr>
        <w:t xml:space="preserve"> рынков недвижимости на </w:t>
      </w:r>
      <w:r w:rsidR="0051391A" w:rsidRPr="007917A1">
        <w:rPr>
          <w:rFonts w:ascii="Times New Roman" w:eastAsia="Times New Roman" w:hAnsi="Times New Roman" w:cs="Times New Roman"/>
          <w:sz w:val="24"/>
          <w:szCs w:val="24"/>
          <w:lang w:eastAsia="ru-RU"/>
        </w:rPr>
        <w:t>стабильность банковской системы.</w:t>
      </w:r>
    </w:p>
    <w:p w:rsidR="0021344C" w:rsidRPr="007917A1" w:rsidRDefault="00FA3583" w:rsidP="004B41CB">
      <w:pPr>
        <w:spacing w:before="120" w:after="0" w:line="360" w:lineRule="auto"/>
        <w:rPr>
          <w:rFonts w:ascii="Times New Roman" w:eastAsia="Times New Roman" w:hAnsi="Times New Roman" w:cs="Times New Roman"/>
          <w:b/>
          <w:sz w:val="24"/>
          <w:szCs w:val="24"/>
          <w:lang w:eastAsia="ru-RU"/>
        </w:rPr>
      </w:pPr>
      <w:r w:rsidRPr="007917A1">
        <w:rPr>
          <w:rFonts w:ascii="Times New Roman" w:eastAsia="Times New Roman" w:hAnsi="Times New Roman" w:cs="Times New Roman"/>
          <w:b/>
          <w:sz w:val="24"/>
          <w:szCs w:val="24"/>
          <w:lang w:eastAsia="ru-RU"/>
        </w:rPr>
        <w:t>Степень проработанности проблемы в зарубежной науке и практике</w:t>
      </w:r>
    </w:p>
    <w:p w:rsidR="000B099B" w:rsidRPr="007917A1" w:rsidRDefault="000B099B" w:rsidP="004B41CB">
      <w:pPr>
        <w:spacing w:before="120" w:after="0" w:line="360" w:lineRule="auto"/>
        <w:jc w:val="both"/>
        <w:rPr>
          <w:rFonts w:ascii="Times New Roman" w:hAnsi="Times New Roman" w:cs="Times New Roman"/>
          <w:sz w:val="28"/>
          <w:szCs w:val="28"/>
        </w:rPr>
      </w:pPr>
      <w:r w:rsidRPr="007917A1">
        <w:rPr>
          <w:rFonts w:ascii="Times New Roman" w:eastAsia="Times New Roman" w:hAnsi="Times New Roman" w:cs="Times New Roman"/>
          <w:sz w:val="24"/>
          <w:szCs w:val="24"/>
          <w:lang w:eastAsia="ru-RU"/>
        </w:rPr>
        <w:t xml:space="preserve">После ипотечного кризиса в США 2006-2008 гг. общее признание во всем мире получила точка зрения, что на развитых рынках недвижимость представляет собой не только реальный (материальный) капитал, но может формировать и существенную часть рынка </w:t>
      </w:r>
      <w:r w:rsidRPr="007917A1">
        <w:rPr>
          <w:rFonts w:ascii="Times New Roman" w:eastAsia="Times New Roman" w:hAnsi="Times New Roman" w:cs="Times New Roman"/>
          <w:sz w:val="24"/>
          <w:szCs w:val="24"/>
          <w:lang w:eastAsia="ru-RU"/>
        </w:rPr>
        <w:lastRenderedPageBreak/>
        <w:t xml:space="preserve">заимствований (первичная и вторичная ипотека), и существенную часть фондового рынка </w:t>
      </w:r>
      <w:r w:rsidR="00B72BB1" w:rsidRPr="007917A1">
        <w:rPr>
          <w:rFonts w:ascii="Times New Roman" w:eastAsia="Times New Roman" w:hAnsi="Times New Roman" w:cs="Times New Roman"/>
          <w:sz w:val="24"/>
          <w:szCs w:val="24"/>
          <w:lang w:eastAsia="ru-RU"/>
        </w:rPr>
        <w:t>–</w:t>
      </w:r>
      <w:r w:rsidRPr="007917A1">
        <w:rPr>
          <w:rFonts w:ascii="Times New Roman" w:eastAsia="Times New Roman" w:hAnsi="Times New Roman" w:cs="Times New Roman"/>
          <w:sz w:val="24"/>
          <w:szCs w:val="24"/>
          <w:lang w:eastAsia="ru-RU"/>
        </w:rPr>
        <w:t xml:space="preserve"> акции трастов недвижимости и котируемых паевых инвестиционных фондов (ПИФов). Поэтому, например, международное рейтинговое агентство </w:t>
      </w:r>
      <w:proofErr w:type="spellStart"/>
      <w:r w:rsidRPr="007917A1">
        <w:rPr>
          <w:rFonts w:ascii="Times New Roman" w:eastAsia="Times New Roman" w:hAnsi="Times New Roman" w:cs="Times New Roman"/>
          <w:sz w:val="24"/>
          <w:szCs w:val="24"/>
          <w:lang w:eastAsia="ru-RU"/>
        </w:rPr>
        <w:t>Moody’s</w:t>
      </w:r>
      <w:proofErr w:type="spellEnd"/>
      <w:r w:rsidRPr="007917A1">
        <w:rPr>
          <w:rFonts w:ascii="Times New Roman" w:eastAsia="Times New Roman" w:hAnsi="Times New Roman" w:cs="Times New Roman"/>
          <w:sz w:val="24"/>
          <w:szCs w:val="24"/>
          <w:lang w:eastAsia="ru-RU"/>
        </w:rPr>
        <w:t xml:space="preserve"> включило рейтинг «волатильности денежных потоков по портфелям недвижимости» в группу «Прочие </w:t>
      </w:r>
      <w:proofErr w:type="spellStart"/>
      <w:r w:rsidRPr="007917A1">
        <w:rPr>
          <w:rFonts w:ascii="Times New Roman" w:eastAsia="Times New Roman" w:hAnsi="Times New Roman" w:cs="Times New Roman"/>
          <w:sz w:val="24"/>
          <w:szCs w:val="24"/>
          <w:lang w:eastAsia="ru-RU"/>
        </w:rPr>
        <w:t>некредитные</w:t>
      </w:r>
      <w:proofErr w:type="spellEnd"/>
      <w:r w:rsidRPr="007917A1">
        <w:rPr>
          <w:rFonts w:ascii="Times New Roman" w:eastAsia="Times New Roman" w:hAnsi="Times New Roman" w:cs="Times New Roman"/>
          <w:sz w:val="24"/>
          <w:szCs w:val="24"/>
          <w:lang w:eastAsia="ru-RU"/>
        </w:rPr>
        <w:t xml:space="preserve"> рейтинги»</w:t>
      </w:r>
      <w:r w:rsidR="00C439BF" w:rsidRPr="007917A1">
        <w:rPr>
          <w:rFonts w:ascii="Times New Roman" w:eastAsia="Times New Roman" w:hAnsi="Times New Roman" w:cs="Times New Roman"/>
          <w:sz w:val="24"/>
          <w:szCs w:val="24"/>
          <w:lang w:eastAsia="ru-RU"/>
        </w:rPr>
        <w:t xml:space="preserve"> [</w:t>
      </w:r>
      <w:r w:rsidR="00B47FB0" w:rsidRPr="007917A1">
        <w:rPr>
          <w:rFonts w:ascii="Times New Roman" w:eastAsia="Times New Roman" w:hAnsi="Times New Roman" w:cs="Times New Roman"/>
          <w:sz w:val="24"/>
          <w:szCs w:val="24"/>
          <w:lang w:eastAsia="ru-RU"/>
        </w:rPr>
        <w:fldChar w:fldCharType="begin"/>
      </w:r>
      <w:r w:rsidR="00B47FB0" w:rsidRPr="007917A1">
        <w:rPr>
          <w:rFonts w:ascii="Times New Roman" w:eastAsia="Times New Roman" w:hAnsi="Times New Roman" w:cs="Times New Roman"/>
          <w:sz w:val="24"/>
          <w:szCs w:val="24"/>
          <w:lang w:eastAsia="ru-RU"/>
        </w:rPr>
        <w:instrText xml:space="preserve"> REF _Ref529188800 \r \h </w:instrText>
      </w:r>
      <w:r w:rsidR="00B47FB0" w:rsidRPr="007917A1">
        <w:rPr>
          <w:rFonts w:ascii="Times New Roman" w:eastAsia="Times New Roman" w:hAnsi="Times New Roman" w:cs="Times New Roman"/>
          <w:sz w:val="24"/>
          <w:szCs w:val="24"/>
          <w:lang w:eastAsia="ru-RU"/>
        </w:rPr>
      </w:r>
      <w:r w:rsidR="007917A1">
        <w:rPr>
          <w:rFonts w:ascii="Times New Roman" w:eastAsia="Times New Roman" w:hAnsi="Times New Roman" w:cs="Times New Roman"/>
          <w:sz w:val="24"/>
          <w:szCs w:val="24"/>
          <w:lang w:eastAsia="ru-RU"/>
        </w:rPr>
        <w:instrText xml:space="preserve"> \* MERGEFORMAT </w:instrText>
      </w:r>
      <w:r w:rsidR="00B47FB0" w:rsidRPr="007917A1">
        <w:rPr>
          <w:rFonts w:ascii="Times New Roman" w:eastAsia="Times New Roman" w:hAnsi="Times New Roman" w:cs="Times New Roman"/>
          <w:sz w:val="24"/>
          <w:szCs w:val="24"/>
          <w:lang w:eastAsia="ru-RU"/>
        </w:rPr>
        <w:fldChar w:fldCharType="separate"/>
      </w:r>
      <w:r w:rsidR="00D90DB8" w:rsidRPr="007917A1">
        <w:rPr>
          <w:rFonts w:ascii="Times New Roman" w:eastAsia="Times New Roman" w:hAnsi="Times New Roman" w:cs="Times New Roman"/>
          <w:sz w:val="24"/>
          <w:szCs w:val="24"/>
          <w:lang w:eastAsia="ru-RU"/>
        </w:rPr>
        <w:t>5</w:t>
      </w:r>
      <w:r w:rsidR="00B47FB0" w:rsidRPr="007917A1">
        <w:rPr>
          <w:rFonts w:ascii="Times New Roman" w:eastAsia="Times New Roman" w:hAnsi="Times New Roman" w:cs="Times New Roman"/>
          <w:sz w:val="24"/>
          <w:szCs w:val="24"/>
          <w:lang w:eastAsia="ru-RU"/>
        </w:rPr>
        <w:fldChar w:fldCharType="end"/>
      </w:r>
      <w:r w:rsidR="00C439BF" w:rsidRPr="007917A1">
        <w:rPr>
          <w:rFonts w:ascii="Times New Roman" w:eastAsia="Times New Roman" w:hAnsi="Times New Roman" w:cs="Times New Roman"/>
          <w:sz w:val="24"/>
          <w:szCs w:val="24"/>
          <w:lang w:eastAsia="ru-RU"/>
        </w:rPr>
        <w:t>]</w:t>
      </w:r>
      <w:r w:rsidRPr="007917A1">
        <w:rPr>
          <w:rFonts w:ascii="Times New Roman" w:hAnsi="Times New Roman" w:cs="Times New Roman"/>
          <w:sz w:val="24"/>
          <w:szCs w:val="24"/>
        </w:rPr>
        <w:t>.</w:t>
      </w:r>
      <w:r w:rsidRPr="007917A1">
        <w:rPr>
          <w:rFonts w:ascii="Times New Roman" w:hAnsi="Times New Roman" w:cs="Times New Roman"/>
          <w:sz w:val="28"/>
          <w:szCs w:val="28"/>
        </w:rPr>
        <w:t xml:space="preserve"> </w:t>
      </w:r>
    </w:p>
    <w:p w:rsidR="00B52E9F" w:rsidRPr="007917A1" w:rsidRDefault="005B7890" w:rsidP="004B41CB">
      <w:pPr>
        <w:spacing w:before="120" w:after="0" w:line="360" w:lineRule="auto"/>
        <w:jc w:val="both"/>
        <w:rPr>
          <w:rFonts w:ascii="Times New Roman" w:eastAsia="Times New Roman" w:hAnsi="Times New Roman" w:cs="Times New Roman"/>
          <w:sz w:val="24"/>
          <w:szCs w:val="24"/>
          <w:lang w:eastAsia="ru-RU"/>
        </w:rPr>
      </w:pPr>
      <w:r w:rsidRPr="007917A1">
        <w:rPr>
          <w:rFonts w:ascii="Times New Roman" w:eastAsia="Times New Roman" w:hAnsi="Times New Roman" w:cs="Times New Roman"/>
          <w:sz w:val="24"/>
          <w:szCs w:val="24"/>
          <w:lang w:eastAsia="ru-RU"/>
        </w:rPr>
        <w:t xml:space="preserve">Отражением растущего признания роли рынков недвижимости (и недвижимости как класса активов) в стабильности банковской системы со стороны регуляторов, в частности, является организация международных дискуссионных мероприятий, </w:t>
      </w:r>
      <w:r w:rsidR="00090CF7" w:rsidRPr="007917A1">
        <w:rPr>
          <w:rFonts w:ascii="Times New Roman" w:eastAsia="Times New Roman" w:hAnsi="Times New Roman" w:cs="Times New Roman"/>
          <w:sz w:val="24"/>
          <w:szCs w:val="24"/>
          <w:lang w:eastAsia="ru-RU"/>
        </w:rPr>
        <w:t>ставящих целью поиск и создание адекватной системы регулирования банковского сектора применительно к рискам, возникающим в результате существенных измене</w:t>
      </w:r>
      <w:r w:rsidR="00D9580C" w:rsidRPr="007917A1">
        <w:rPr>
          <w:rFonts w:ascii="Times New Roman" w:eastAsia="Times New Roman" w:hAnsi="Times New Roman" w:cs="Times New Roman"/>
          <w:sz w:val="24"/>
          <w:szCs w:val="24"/>
          <w:lang w:eastAsia="ru-RU"/>
        </w:rPr>
        <w:t xml:space="preserve">ний на рынках недвижимости. </w:t>
      </w:r>
    </w:p>
    <w:p w:rsidR="000A7803" w:rsidRPr="007917A1" w:rsidRDefault="00D9580C" w:rsidP="004B41CB">
      <w:pPr>
        <w:spacing w:before="120" w:after="0" w:line="360" w:lineRule="auto"/>
        <w:jc w:val="both"/>
        <w:rPr>
          <w:rFonts w:ascii="Times New Roman" w:hAnsi="Times New Roman" w:cs="Times New Roman"/>
          <w:sz w:val="24"/>
          <w:szCs w:val="24"/>
        </w:rPr>
      </w:pPr>
      <w:r w:rsidRPr="007917A1">
        <w:rPr>
          <w:rFonts w:ascii="Times New Roman" w:hAnsi="Times New Roman" w:cs="Times New Roman"/>
          <w:sz w:val="24"/>
          <w:szCs w:val="24"/>
        </w:rPr>
        <w:t>Одн</w:t>
      </w:r>
      <w:r w:rsidR="00F26726" w:rsidRPr="007917A1">
        <w:rPr>
          <w:rFonts w:ascii="Times New Roman" w:hAnsi="Times New Roman" w:cs="Times New Roman"/>
          <w:sz w:val="24"/>
          <w:szCs w:val="24"/>
        </w:rPr>
        <w:t>им</w:t>
      </w:r>
      <w:r w:rsidRPr="007917A1">
        <w:rPr>
          <w:rFonts w:ascii="Times New Roman" w:hAnsi="Times New Roman" w:cs="Times New Roman"/>
          <w:sz w:val="24"/>
          <w:szCs w:val="24"/>
        </w:rPr>
        <w:t xml:space="preserve"> из </w:t>
      </w:r>
      <w:r w:rsidR="00F26726" w:rsidRPr="007917A1">
        <w:rPr>
          <w:rFonts w:ascii="Times New Roman" w:hAnsi="Times New Roman" w:cs="Times New Roman"/>
          <w:sz w:val="24"/>
          <w:szCs w:val="24"/>
        </w:rPr>
        <w:t xml:space="preserve">таких мероприятий </w:t>
      </w:r>
      <w:r w:rsidRPr="007917A1">
        <w:rPr>
          <w:rFonts w:ascii="Times New Roman" w:hAnsi="Times New Roman" w:cs="Times New Roman"/>
          <w:sz w:val="24"/>
          <w:szCs w:val="24"/>
        </w:rPr>
        <w:t xml:space="preserve">безусловно является международная конференция, организованная </w:t>
      </w:r>
      <w:r w:rsidR="00F26726" w:rsidRPr="007917A1">
        <w:rPr>
          <w:rFonts w:ascii="Times New Roman" w:hAnsi="Times New Roman" w:cs="Times New Roman"/>
          <w:sz w:val="24"/>
          <w:szCs w:val="24"/>
        </w:rPr>
        <w:t xml:space="preserve">в 2012 г. </w:t>
      </w:r>
      <w:r w:rsidRPr="007917A1">
        <w:rPr>
          <w:rFonts w:ascii="Times New Roman" w:hAnsi="Times New Roman" w:cs="Times New Roman"/>
          <w:sz w:val="24"/>
          <w:szCs w:val="24"/>
        </w:rPr>
        <w:t xml:space="preserve">Банком Международных Расчетов </w:t>
      </w:r>
      <w:proofErr w:type="spellStart"/>
      <w:r w:rsidR="00F26726" w:rsidRPr="007917A1">
        <w:rPr>
          <w:rFonts w:ascii="Times New Roman" w:hAnsi="Times New Roman" w:cs="Times New Roman"/>
          <w:sz w:val="24"/>
          <w:szCs w:val="24"/>
        </w:rPr>
        <w:t>совместо</w:t>
      </w:r>
      <w:proofErr w:type="spellEnd"/>
      <w:r w:rsidR="00F26726" w:rsidRPr="007917A1">
        <w:rPr>
          <w:rFonts w:ascii="Times New Roman" w:hAnsi="Times New Roman" w:cs="Times New Roman"/>
          <w:sz w:val="24"/>
          <w:szCs w:val="24"/>
        </w:rPr>
        <w:t xml:space="preserve"> с</w:t>
      </w:r>
      <w:r w:rsidRPr="007917A1">
        <w:rPr>
          <w:rFonts w:ascii="Times New Roman" w:hAnsi="Times New Roman" w:cs="Times New Roman"/>
          <w:sz w:val="24"/>
          <w:szCs w:val="24"/>
        </w:rPr>
        <w:t xml:space="preserve"> </w:t>
      </w:r>
      <w:r w:rsidRPr="007917A1">
        <w:rPr>
          <w:rFonts w:ascii="Times New Roman" w:eastAsia="Times New Roman" w:hAnsi="Times New Roman" w:cs="Times New Roman"/>
          <w:sz w:val="24"/>
          <w:szCs w:val="24"/>
          <w:lang w:eastAsia="ru-RU"/>
        </w:rPr>
        <w:t>Центральным</w:t>
      </w:r>
      <w:r w:rsidRPr="007917A1">
        <w:rPr>
          <w:rFonts w:ascii="Times New Roman" w:hAnsi="Times New Roman" w:cs="Times New Roman"/>
          <w:sz w:val="24"/>
          <w:szCs w:val="24"/>
        </w:rPr>
        <w:t xml:space="preserve"> банком Сингапура, объединившая представителей большинства центральных банков Азиатско-Тихоокеанского региона, представителей Международного Валютного Фонда и академических кругов США и Великобритании</w:t>
      </w:r>
      <w:r w:rsidR="00B05BEB" w:rsidRPr="007917A1">
        <w:rPr>
          <w:rFonts w:ascii="Times New Roman" w:hAnsi="Times New Roman" w:cs="Times New Roman"/>
          <w:sz w:val="24"/>
          <w:szCs w:val="24"/>
        </w:rPr>
        <w:t xml:space="preserve"> </w:t>
      </w:r>
      <w:r w:rsidRPr="007917A1">
        <w:rPr>
          <w:rFonts w:ascii="Times New Roman" w:hAnsi="Times New Roman" w:cs="Times New Roman"/>
          <w:sz w:val="24"/>
          <w:szCs w:val="24"/>
        </w:rPr>
        <w:t xml:space="preserve">и озаглавленная </w:t>
      </w:r>
      <w:r w:rsidR="000D4FDF" w:rsidRPr="007917A1">
        <w:rPr>
          <w:rFonts w:ascii="Times New Roman" w:hAnsi="Times New Roman" w:cs="Times New Roman"/>
          <w:sz w:val="24"/>
          <w:szCs w:val="24"/>
        </w:rPr>
        <w:t>«Рынки недвижимости и финансовая стабильность»</w:t>
      </w:r>
      <w:r w:rsidR="00C439BF" w:rsidRPr="007917A1">
        <w:rPr>
          <w:rFonts w:ascii="Times New Roman" w:hAnsi="Times New Roman" w:cs="Times New Roman"/>
          <w:sz w:val="24"/>
          <w:szCs w:val="24"/>
        </w:rPr>
        <w:t xml:space="preserve"> [</w:t>
      </w:r>
      <w:r w:rsidR="00C439BF" w:rsidRPr="007917A1">
        <w:rPr>
          <w:rFonts w:ascii="Times New Roman" w:hAnsi="Times New Roman" w:cs="Times New Roman"/>
          <w:sz w:val="24"/>
          <w:szCs w:val="24"/>
        </w:rPr>
        <w:fldChar w:fldCharType="begin"/>
      </w:r>
      <w:r w:rsidR="00C439BF" w:rsidRPr="007917A1">
        <w:rPr>
          <w:rFonts w:ascii="Times New Roman" w:hAnsi="Times New Roman" w:cs="Times New Roman"/>
          <w:sz w:val="24"/>
          <w:szCs w:val="24"/>
        </w:rPr>
        <w:instrText xml:space="preserve"> REF _Ref528568134 \r \h </w:instrText>
      </w:r>
      <w:r w:rsidR="00C439BF" w:rsidRPr="007917A1">
        <w:rPr>
          <w:rFonts w:ascii="Times New Roman" w:hAnsi="Times New Roman" w:cs="Times New Roman"/>
          <w:sz w:val="24"/>
          <w:szCs w:val="24"/>
        </w:rPr>
      </w:r>
      <w:r w:rsidR="007917A1">
        <w:rPr>
          <w:rFonts w:ascii="Times New Roman" w:hAnsi="Times New Roman" w:cs="Times New Roman"/>
          <w:sz w:val="24"/>
          <w:szCs w:val="24"/>
        </w:rPr>
        <w:instrText xml:space="preserve"> \* MERGEFORMAT </w:instrText>
      </w:r>
      <w:r w:rsidR="00C439BF" w:rsidRPr="007917A1">
        <w:rPr>
          <w:rFonts w:ascii="Times New Roman" w:hAnsi="Times New Roman" w:cs="Times New Roman"/>
          <w:sz w:val="24"/>
          <w:szCs w:val="24"/>
        </w:rPr>
        <w:fldChar w:fldCharType="separate"/>
      </w:r>
      <w:r w:rsidR="00D90DB8" w:rsidRPr="007917A1">
        <w:rPr>
          <w:rFonts w:ascii="Times New Roman" w:hAnsi="Times New Roman" w:cs="Times New Roman"/>
          <w:sz w:val="24"/>
          <w:szCs w:val="24"/>
        </w:rPr>
        <w:t>6</w:t>
      </w:r>
      <w:r w:rsidR="00C439BF" w:rsidRPr="007917A1">
        <w:rPr>
          <w:rFonts w:ascii="Times New Roman" w:hAnsi="Times New Roman" w:cs="Times New Roman"/>
          <w:sz w:val="24"/>
          <w:szCs w:val="24"/>
        </w:rPr>
        <w:fldChar w:fldCharType="end"/>
      </w:r>
      <w:r w:rsidR="00C439BF" w:rsidRPr="007917A1">
        <w:rPr>
          <w:rFonts w:ascii="Times New Roman" w:hAnsi="Times New Roman" w:cs="Times New Roman"/>
          <w:sz w:val="24"/>
          <w:szCs w:val="24"/>
        </w:rPr>
        <w:t>]</w:t>
      </w:r>
      <w:r w:rsidR="000D4FDF" w:rsidRPr="007917A1">
        <w:rPr>
          <w:rFonts w:ascii="Times New Roman" w:hAnsi="Times New Roman" w:cs="Times New Roman"/>
          <w:sz w:val="24"/>
          <w:szCs w:val="24"/>
        </w:rPr>
        <w:t>.</w:t>
      </w:r>
      <w:r w:rsidR="000A7803" w:rsidRPr="007917A1">
        <w:rPr>
          <w:rFonts w:ascii="Times New Roman" w:hAnsi="Times New Roman" w:cs="Times New Roman"/>
          <w:sz w:val="24"/>
          <w:szCs w:val="24"/>
        </w:rPr>
        <w:t xml:space="preserve"> Организованн</w:t>
      </w:r>
      <w:r w:rsidR="00AA0049" w:rsidRPr="007917A1">
        <w:rPr>
          <w:rFonts w:ascii="Times New Roman" w:hAnsi="Times New Roman" w:cs="Times New Roman"/>
          <w:sz w:val="24"/>
          <w:szCs w:val="24"/>
        </w:rPr>
        <w:t>ая</w:t>
      </w:r>
      <w:r w:rsidR="000A7803" w:rsidRPr="007917A1">
        <w:rPr>
          <w:rFonts w:ascii="Times New Roman" w:hAnsi="Times New Roman" w:cs="Times New Roman"/>
          <w:sz w:val="24"/>
          <w:szCs w:val="24"/>
        </w:rPr>
        <w:t xml:space="preserve"> основным международным законодателем банковского регулирования (прим</w:t>
      </w:r>
      <w:r w:rsidR="00B52E9F" w:rsidRPr="007917A1">
        <w:rPr>
          <w:rFonts w:ascii="Times New Roman" w:hAnsi="Times New Roman" w:cs="Times New Roman"/>
          <w:sz w:val="24"/>
          <w:szCs w:val="24"/>
        </w:rPr>
        <w:t>ечание</w:t>
      </w:r>
      <w:r w:rsidR="000A7803" w:rsidRPr="007917A1">
        <w:rPr>
          <w:rFonts w:ascii="Times New Roman" w:hAnsi="Times New Roman" w:cs="Times New Roman"/>
          <w:sz w:val="24"/>
          <w:szCs w:val="24"/>
        </w:rPr>
        <w:t xml:space="preserve">: Банк Международных Расчетов </w:t>
      </w:r>
      <w:r w:rsidR="000C6AE6" w:rsidRPr="007917A1">
        <w:rPr>
          <w:rFonts w:ascii="Times New Roman" w:hAnsi="Times New Roman" w:cs="Times New Roman"/>
          <w:sz w:val="24"/>
          <w:szCs w:val="24"/>
        </w:rPr>
        <w:t xml:space="preserve">является разработчиком системы </w:t>
      </w:r>
      <w:proofErr w:type="spellStart"/>
      <w:r w:rsidR="000C6AE6" w:rsidRPr="007917A1">
        <w:rPr>
          <w:rFonts w:ascii="Times New Roman" w:hAnsi="Times New Roman" w:cs="Times New Roman"/>
          <w:sz w:val="24"/>
          <w:szCs w:val="24"/>
        </w:rPr>
        <w:t>Б</w:t>
      </w:r>
      <w:r w:rsidR="000A7803" w:rsidRPr="007917A1">
        <w:rPr>
          <w:rFonts w:ascii="Times New Roman" w:hAnsi="Times New Roman" w:cs="Times New Roman"/>
          <w:sz w:val="24"/>
          <w:szCs w:val="24"/>
        </w:rPr>
        <w:t>азельских</w:t>
      </w:r>
      <w:proofErr w:type="spellEnd"/>
      <w:r w:rsidR="000A7803" w:rsidRPr="007917A1">
        <w:rPr>
          <w:rFonts w:ascii="Times New Roman" w:hAnsi="Times New Roman" w:cs="Times New Roman"/>
          <w:sz w:val="24"/>
          <w:szCs w:val="24"/>
        </w:rPr>
        <w:t xml:space="preserve"> стандартов) </w:t>
      </w:r>
      <w:r w:rsidR="00AA0049" w:rsidRPr="007917A1">
        <w:rPr>
          <w:rFonts w:ascii="Times New Roman" w:hAnsi="Times New Roman" w:cs="Times New Roman"/>
          <w:sz w:val="24"/>
          <w:szCs w:val="24"/>
        </w:rPr>
        <w:t xml:space="preserve">конференция, </w:t>
      </w:r>
      <w:r w:rsidR="00F26726" w:rsidRPr="007917A1">
        <w:rPr>
          <w:rFonts w:ascii="Times New Roman" w:hAnsi="Times New Roman" w:cs="Times New Roman"/>
          <w:sz w:val="24"/>
          <w:szCs w:val="24"/>
        </w:rPr>
        <w:t>была организована</w:t>
      </w:r>
      <w:r w:rsidR="000A7803" w:rsidRPr="007917A1">
        <w:rPr>
          <w:rFonts w:ascii="Times New Roman" w:hAnsi="Times New Roman" w:cs="Times New Roman"/>
          <w:sz w:val="24"/>
          <w:szCs w:val="24"/>
        </w:rPr>
        <w:t xml:space="preserve"> вокруг </w:t>
      </w:r>
      <w:r w:rsidR="00F26726" w:rsidRPr="007917A1">
        <w:rPr>
          <w:rFonts w:ascii="Times New Roman" w:hAnsi="Times New Roman" w:cs="Times New Roman"/>
          <w:sz w:val="24"/>
          <w:szCs w:val="24"/>
        </w:rPr>
        <w:t xml:space="preserve">следующих </w:t>
      </w:r>
      <w:r w:rsidR="000A7803" w:rsidRPr="007917A1">
        <w:rPr>
          <w:rFonts w:ascii="Times New Roman" w:hAnsi="Times New Roman" w:cs="Times New Roman"/>
          <w:sz w:val="24"/>
          <w:szCs w:val="24"/>
        </w:rPr>
        <w:t>ключевых тем:</w:t>
      </w:r>
    </w:p>
    <w:p w:rsidR="0051391A" w:rsidRPr="007917A1" w:rsidRDefault="000A7803" w:rsidP="00C95E98">
      <w:pPr>
        <w:pStyle w:val="a5"/>
        <w:numPr>
          <w:ilvl w:val="0"/>
          <w:numId w:val="20"/>
        </w:numPr>
        <w:spacing w:after="0" w:line="360" w:lineRule="auto"/>
        <w:ind w:left="1134" w:hanging="425"/>
        <w:jc w:val="both"/>
        <w:rPr>
          <w:rFonts w:ascii="Times New Roman" w:hAnsi="Times New Roman" w:cs="Times New Roman"/>
          <w:sz w:val="24"/>
          <w:szCs w:val="24"/>
        </w:rPr>
      </w:pPr>
      <w:r w:rsidRPr="007917A1">
        <w:rPr>
          <w:rFonts w:ascii="Times New Roman" w:hAnsi="Times New Roman" w:cs="Times New Roman"/>
          <w:sz w:val="24"/>
          <w:szCs w:val="24"/>
        </w:rPr>
        <w:t xml:space="preserve">Уроки кризиса </w:t>
      </w:r>
      <w:r w:rsidR="00B52E9F" w:rsidRPr="007917A1">
        <w:rPr>
          <w:rFonts w:ascii="Times New Roman" w:hAnsi="Times New Roman" w:cs="Times New Roman"/>
          <w:sz w:val="24"/>
          <w:szCs w:val="24"/>
        </w:rPr>
        <w:t>(</w:t>
      </w:r>
      <w:r w:rsidRPr="007917A1">
        <w:rPr>
          <w:rFonts w:ascii="Times New Roman" w:hAnsi="Times New Roman" w:cs="Times New Roman"/>
          <w:sz w:val="24"/>
          <w:szCs w:val="24"/>
        </w:rPr>
        <w:t>примечание: международного финансового кризиса 2008-09 гг.</w:t>
      </w:r>
      <w:r w:rsidR="00B52E9F" w:rsidRPr="007917A1">
        <w:rPr>
          <w:rFonts w:ascii="Times New Roman" w:hAnsi="Times New Roman" w:cs="Times New Roman"/>
          <w:sz w:val="24"/>
          <w:szCs w:val="24"/>
        </w:rPr>
        <w:t>)</w:t>
      </w:r>
      <w:r w:rsidR="00AA0049" w:rsidRPr="007917A1">
        <w:rPr>
          <w:rFonts w:ascii="Times New Roman" w:hAnsi="Times New Roman" w:cs="Times New Roman"/>
          <w:sz w:val="24"/>
          <w:szCs w:val="24"/>
        </w:rPr>
        <w:t>;</w:t>
      </w:r>
    </w:p>
    <w:p w:rsidR="000A7803" w:rsidRPr="007917A1" w:rsidRDefault="00BC2AA5" w:rsidP="00C95E98">
      <w:pPr>
        <w:pStyle w:val="a5"/>
        <w:numPr>
          <w:ilvl w:val="0"/>
          <w:numId w:val="20"/>
        </w:numPr>
        <w:spacing w:after="0" w:line="360" w:lineRule="auto"/>
        <w:ind w:left="1134" w:hanging="425"/>
        <w:jc w:val="both"/>
        <w:rPr>
          <w:rFonts w:ascii="Times New Roman" w:hAnsi="Times New Roman" w:cs="Times New Roman"/>
          <w:sz w:val="24"/>
          <w:szCs w:val="24"/>
        </w:rPr>
      </w:pPr>
      <w:r w:rsidRPr="007917A1">
        <w:rPr>
          <w:rFonts w:ascii="Times New Roman" w:hAnsi="Times New Roman" w:cs="Times New Roman"/>
          <w:sz w:val="24"/>
          <w:szCs w:val="24"/>
        </w:rPr>
        <w:t>Анализ цен на рынке недвижимости</w:t>
      </w:r>
      <w:r w:rsidR="00AA0049" w:rsidRPr="007917A1">
        <w:rPr>
          <w:rFonts w:ascii="Times New Roman" w:hAnsi="Times New Roman" w:cs="Times New Roman"/>
          <w:sz w:val="24"/>
          <w:szCs w:val="24"/>
        </w:rPr>
        <w:t>;</w:t>
      </w:r>
    </w:p>
    <w:p w:rsidR="00BC2AA5" w:rsidRPr="007917A1" w:rsidRDefault="00BC2AA5" w:rsidP="00C95E98">
      <w:pPr>
        <w:pStyle w:val="a5"/>
        <w:numPr>
          <w:ilvl w:val="0"/>
          <w:numId w:val="20"/>
        </w:numPr>
        <w:spacing w:after="0" w:line="360" w:lineRule="auto"/>
        <w:ind w:left="1134" w:hanging="425"/>
        <w:jc w:val="both"/>
        <w:rPr>
          <w:rFonts w:ascii="Times New Roman" w:hAnsi="Times New Roman" w:cs="Times New Roman"/>
          <w:sz w:val="24"/>
          <w:szCs w:val="24"/>
        </w:rPr>
      </w:pPr>
      <w:r w:rsidRPr="007917A1">
        <w:rPr>
          <w:rFonts w:ascii="Times New Roman" w:hAnsi="Times New Roman" w:cs="Times New Roman"/>
          <w:sz w:val="24"/>
          <w:szCs w:val="24"/>
        </w:rPr>
        <w:t>Взрывной рост и кризисы на рынках недвижимости</w:t>
      </w:r>
      <w:r w:rsidR="00AA0049" w:rsidRPr="007917A1">
        <w:rPr>
          <w:rFonts w:ascii="Times New Roman" w:hAnsi="Times New Roman" w:cs="Times New Roman"/>
          <w:sz w:val="24"/>
          <w:szCs w:val="24"/>
        </w:rPr>
        <w:t>;</w:t>
      </w:r>
    </w:p>
    <w:p w:rsidR="00BC2AA5" w:rsidRPr="007917A1" w:rsidRDefault="00BC2AA5" w:rsidP="00C95E98">
      <w:pPr>
        <w:pStyle w:val="a5"/>
        <w:numPr>
          <w:ilvl w:val="0"/>
          <w:numId w:val="20"/>
        </w:numPr>
        <w:spacing w:after="0" w:line="360" w:lineRule="auto"/>
        <w:ind w:left="1134" w:hanging="425"/>
        <w:jc w:val="both"/>
        <w:rPr>
          <w:rFonts w:ascii="Times New Roman" w:hAnsi="Times New Roman" w:cs="Times New Roman"/>
          <w:sz w:val="24"/>
          <w:szCs w:val="24"/>
        </w:rPr>
      </w:pPr>
      <w:r w:rsidRPr="007917A1">
        <w:rPr>
          <w:rFonts w:ascii="Times New Roman" w:hAnsi="Times New Roman" w:cs="Times New Roman"/>
          <w:sz w:val="24"/>
          <w:szCs w:val="24"/>
        </w:rPr>
        <w:t>Недвижимость, кредит и рынки капитала.</w:t>
      </w:r>
    </w:p>
    <w:p w:rsidR="00BC2AA5" w:rsidRPr="007917A1" w:rsidRDefault="00AA0049" w:rsidP="004B41CB">
      <w:pPr>
        <w:spacing w:before="120" w:after="0" w:line="360" w:lineRule="auto"/>
        <w:jc w:val="both"/>
        <w:rPr>
          <w:rFonts w:ascii="Times New Roman" w:hAnsi="Times New Roman" w:cs="Times New Roman"/>
          <w:sz w:val="24"/>
          <w:szCs w:val="24"/>
        </w:rPr>
      </w:pPr>
      <w:r w:rsidRPr="007917A1">
        <w:rPr>
          <w:rFonts w:ascii="Times New Roman" w:hAnsi="Times New Roman" w:cs="Times New Roman"/>
          <w:sz w:val="24"/>
          <w:szCs w:val="24"/>
        </w:rPr>
        <w:t xml:space="preserve">Примечателен в этом смысле не только состав ключевых тем конференции, но и тезисы отдельных докладов. В частности, в докладе «Преодолевая последствия </w:t>
      </w:r>
      <w:r w:rsidR="00A5244C" w:rsidRPr="007917A1">
        <w:rPr>
          <w:rFonts w:ascii="Times New Roman" w:hAnsi="Times New Roman" w:cs="Times New Roman"/>
          <w:sz w:val="24"/>
          <w:szCs w:val="24"/>
        </w:rPr>
        <w:t>бума и кризиса на рынках недвижимости</w:t>
      </w:r>
      <w:r w:rsidRPr="007917A1">
        <w:rPr>
          <w:rFonts w:ascii="Times New Roman" w:hAnsi="Times New Roman" w:cs="Times New Roman"/>
          <w:sz w:val="24"/>
          <w:szCs w:val="24"/>
        </w:rPr>
        <w:t>»</w:t>
      </w:r>
      <w:r w:rsidR="00A5244C" w:rsidRPr="007917A1">
        <w:rPr>
          <w:rFonts w:ascii="Times New Roman" w:hAnsi="Times New Roman" w:cs="Times New Roman"/>
          <w:sz w:val="24"/>
          <w:szCs w:val="24"/>
        </w:rPr>
        <w:t xml:space="preserve"> (</w:t>
      </w:r>
      <w:r w:rsidR="00A5244C" w:rsidRPr="007917A1">
        <w:rPr>
          <w:rFonts w:ascii="Times New Roman" w:hAnsi="Times New Roman" w:cs="Times New Roman"/>
          <w:sz w:val="24"/>
          <w:szCs w:val="24"/>
          <w:lang w:val="en-US"/>
        </w:rPr>
        <w:t>Dealing</w:t>
      </w:r>
      <w:r w:rsidR="00A5244C" w:rsidRPr="007917A1">
        <w:rPr>
          <w:rFonts w:ascii="Times New Roman" w:hAnsi="Times New Roman" w:cs="Times New Roman"/>
          <w:sz w:val="24"/>
          <w:szCs w:val="24"/>
        </w:rPr>
        <w:t xml:space="preserve"> </w:t>
      </w:r>
      <w:r w:rsidR="00A5244C" w:rsidRPr="007917A1">
        <w:rPr>
          <w:rFonts w:ascii="Times New Roman" w:hAnsi="Times New Roman" w:cs="Times New Roman"/>
          <w:sz w:val="24"/>
          <w:szCs w:val="24"/>
          <w:lang w:val="en-US"/>
        </w:rPr>
        <w:t>with</w:t>
      </w:r>
      <w:r w:rsidR="00A5244C" w:rsidRPr="007917A1">
        <w:rPr>
          <w:rFonts w:ascii="Times New Roman" w:hAnsi="Times New Roman" w:cs="Times New Roman"/>
          <w:sz w:val="24"/>
          <w:szCs w:val="24"/>
        </w:rPr>
        <w:t xml:space="preserve"> </w:t>
      </w:r>
      <w:r w:rsidR="00A5244C" w:rsidRPr="007917A1">
        <w:rPr>
          <w:rFonts w:ascii="Times New Roman" w:hAnsi="Times New Roman" w:cs="Times New Roman"/>
          <w:sz w:val="24"/>
          <w:szCs w:val="24"/>
          <w:lang w:val="en-US"/>
        </w:rPr>
        <w:t>real</w:t>
      </w:r>
      <w:r w:rsidR="00A5244C" w:rsidRPr="007917A1">
        <w:rPr>
          <w:rFonts w:ascii="Times New Roman" w:hAnsi="Times New Roman" w:cs="Times New Roman"/>
          <w:sz w:val="24"/>
          <w:szCs w:val="24"/>
        </w:rPr>
        <w:t xml:space="preserve"> </w:t>
      </w:r>
      <w:r w:rsidR="00A5244C" w:rsidRPr="007917A1">
        <w:rPr>
          <w:rFonts w:ascii="Times New Roman" w:hAnsi="Times New Roman" w:cs="Times New Roman"/>
          <w:sz w:val="24"/>
          <w:szCs w:val="24"/>
          <w:lang w:val="en-US"/>
        </w:rPr>
        <w:t>estate</w:t>
      </w:r>
      <w:r w:rsidR="00A5244C" w:rsidRPr="007917A1">
        <w:rPr>
          <w:rFonts w:ascii="Times New Roman" w:hAnsi="Times New Roman" w:cs="Times New Roman"/>
          <w:sz w:val="24"/>
          <w:szCs w:val="24"/>
        </w:rPr>
        <w:t xml:space="preserve"> </w:t>
      </w:r>
      <w:r w:rsidR="00A5244C" w:rsidRPr="007917A1">
        <w:rPr>
          <w:rFonts w:ascii="Times New Roman" w:hAnsi="Times New Roman" w:cs="Times New Roman"/>
          <w:sz w:val="24"/>
          <w:szCs w:val="24"/>
          <w:lang w:val="en-US"/>
        </w:rPr>
        <w:t>booms</w:t>
      </w:r>
      <w:r w:rsidR="00A5244C" w:rsidRPr="007917A1">
        <w:rPr>
          <w:rFonts w:ascii="Times New Roman" w:hAnsi="Times New Roman" w:cs="Times New Roman"/>
          <w:sz w:val="24"/>
          <w:szCs w:val="24"/>
        </w:rPr>
        <w:t xml:space="preserve"> </w:t>
      </w:r>
      <w:r w:rsidR="00A5244C" w:rsidRPr="007917A1">
        <w:rPr>
          <w:rFonts w:ascii="Times New Roman" w:hAnsi="Times New Roman" w:cs="Times New Roman"/>
          <w:sz w:val="24"/>
          <w:szCs w:val="24"/>
          <w:lang w:val="en-US"/>
        </w:rPr>
        <w:t>and</w:t>
      </w:r>
      <w:r w:rsidR="00A5244C" w:rsidRPr="007917A1">
        <w:rPr>
          <w:rFonts w:ascii="Times New Roman" w:hAnsi="Times New Roman" w:cs="Times New Roman"/>
          <w:sz w:val="24"/>
          <w:szCs w:val="24"/>
        </w:rPr>
        <w:t xml:space="preserve"> </w:t>
      </w:r>
      <w:r w:rsidR="00A5244C" w:rsidRPr="007917A1">
        <w:rPr>
          <w:rFonts w:ascii="Times New Roman" w:hAnsi="Times New Roman" w:cs="Times New Roman"/>
          <w:sz w:val="24"/>
          <w:szCs w:val="24"/>
          <w:lang w:val="en-US"/>
        </w:rPr>
        <w:t>busts</w:t>
      </w:r>
      <w:r w:rsidR="00A5244C" w:rsidRPr="007917A1">
        <w:rPr>
          <w:rFonts w:ascii="Times New Roman" w:hAnsi="Times New Roman" w:cs="Times New Roman"/>
          <w:sz w:val="24"/>
          <w:szCs w:val="24"/>
        </w:rPr>
        <w:t>), автор Дениз Иган</w:t>
      </w:r>
      <w:r w:rsidR="00161772" w:rsidRPr="007917A1">
        <w:rPr>
          <w:rStyle w:val="a8"/>
          <w:rFonts w:ascii="Times New Roman" w:hAnsi="Times New Roman" w:cs="Times New Roman"/>
          <w:sz w:val="24"/>
          <w:szCs w:val="24"/>
        </w:rPr>
        <w:footnoteReference w:id="1"/>
      </w:r>
      <w:r w:rsidR="00A5244C" w:rsidRPr="007917A1">
        <w:rPr>
          <w:rFonts w:ascii="Times New Roman" w:hAnsi="Times New Roman" w:cs="Times New Roman"/>
          <w:sz w:val="24"/>
          <w:szCs w:val="24"/>
        </w:rPr>
        <w:t>, отмечает:</w:t>
      </w:r>
    </w:p>
    <w:p w:rsidR="00A5244C" w:rsidRPr="007917A1" w:rsidRDefault="00A5244C" w:rsidP="004B41CB">
      <w:pPr>
        <w:spacing w:before="120" w:after="0" w:line="360" w:lineRule="auto"/>
        <w:jc w:val="both"/>
        <w:rPr>
          <w:rFonts w:ascii="Times New Roman" w:hAnsi="Times New Roman" w:cs="Times New Roman"/>
          <w:sz w:val="24"/>
          <w:szCs w:val="24"/>
        </w:rPr>
      </w:pPr>
      <w:r w:rsidRPr="007917A1">
        <w:rPr>
          <w:rFonts w:ascii="Times New Roman" w:hAnsi="Times New Roman" w:cs="Times New Roman"/>
          <w:sz w:val="24"/>
          <w:szCs w:val="24"/>
        </w:rPr>
        <w:t xml:space="preserve">«Недвижимость является важным, если не наиболее важным  средством сбережения в экономике. Дополнительно, большинство домохозяйств проявляют тенденцию к сбережению основной части </w:t>
      </w:r>
      <w:proofErr w:type="gramStart"/>
      <w:r w:rsidRPr="007917A1">
        <w:rPr>
          <w:rFonts w:ascii="Times New Roman" w:hAnsi="Times New Roman" w:cs="Times New Roman"/>
          <w:sz w:val="24"/>
          <w:szCs w:val="24"/>
        </w:rPr>
        <w:t xml:space="preserve">своего  </w:t>
      </w:r>
      <w:r w:rsidR="007A28A4" w:rsidRPr="007917A1">
        <w:rPr>
          <w:rFonts w:ascii="Times New Roman" w:hAnsi="Times New Roman" w:cs="Times New Roman"/>
          <w:sz w:val="24"/>
          <w:szCs w:val="24"/>
        </w:rPr>
        <w:t>состояния</w:t>
      </w:r>
      <w:proofErr w:type="gramEnd"/>
      <w:r w:rsidRPr="007917A1">
        <w:rPr>
          <w:rFonts w:ascii="Times New Roman" w:hAnsi="Times New Roman" w:cs="Times New Roman"/>
          <w:sz w:val="24"/>
          <w:szCs w:val="24"/>
        </w:rPr>
        <w:t xml:space="preserve"> в недвижимости в противоположность к сбережениям в акциях. Обычно, в развитых экономиках</w:t>
      </w:r>
      <w:r w:rsidR="003675F3" w:rsidRPr="007917A1">
        <w:rPr>
          <w:rFonts w:ascii="Times New Roman" w:hAnsi="Times New Roman" w:cs="Times New Roman"/>
          <w:sz w:val="24"/>
          <w:szCs w:val="24"/>
        </w:rPr>
        <w:t>,</w:t>
      </w:r>
      <w:r w:rsidRPr="007917A1">
        <w:rPr>
          <w:rFonts w:ascii="Times New Roman" w:hAnsi="Times New Roman" w:cs="Times New Roman"/>
          <w:sz w:val="24"/>
          <w:szCs w:val="24"/>
        </w:rPr>
        <w:t xml:space="preserve"> менее половины домохозяйств владеют акциями (в прямую или опосредованно), в то время </w:t>
      </w:r>
      <w:r w:rsidR="00BC539D" w:rsidRPr="007917A1">
        <w:rPr>
          <w:rFonts w:ascii="Times New Roman" w:hAnsi="Times New Roman" w:cs="Times New Roman"/>
          <w:sz w:val="24"/>
          <w:szCs w:val="24"/>
        </w:rPr>
        <w:t xml:space="preserve">как </w:t>
      </w:r>
      <w:proofErr w:type="gramStart"/>
      <w:r w:rsidRPr="007917A1">
        <w:rPr>
          <w:rFonts w:ascii="Times New Roman" w:hAnsi="Times New Roman" w:cs="Times New Roman"/>
          <w:sz w:val="24"/>
          <w:szCs w:val="24"/>
        </w:rPr>
        <w:t>доля домохозяйств</w:t>
      </w:r>
      <w:proofErr w:type="gramEnd"/>
      <w:r w:rsidRPr="007917A1">
        <w:rPr>
          <w:rFonts w:ascii="Times New Roman" w:hAnsi="Times New Roman" w:cs="Times New Roman"/>
          <w:sz w:val="24"/>
          <w:szCs w:val="24"/>
        </w:rPr>
        <w:t xml:space="preserve"> </w:t>
      </w:r>
      <w:r w:rsidRPr="007917A1">
        <w:rPr>
          <w:rFonts w:ascii="Times New Roman" w:hAnsi="Times New Roman" w:cs="Times New Roman"/>
          <w:sz w:val="24"/>
          <w:szCs w:val="24"/>
        </w:rPr>
        <w:lastRenderedPageBreak/>
        <w:t xml:space="preserve">имеющих недвижимость в собственности составляет в среднем около 65%. Кроме того, </w:t>
      </w:r>
      <w:r w:rsidR="00003CAC" w:rsidRPr="007917A1">
        <w:rPr>
          <w:rFonts w:ascii="Times New Roman" w:hAnsi="Times New Roman" w:cs="Times New Roman"/>
          <w:sz w:val="24"/>
          <w:szCs w:val="24"/>
        </w:rPr>
        <w:t xml:space="preserve">имеет место существенный </w:t>
      </w:r>
      <w:r w:rsidR="007A28A4" w:rsidRPr="007917A1">
        <w:rPr>
          <w:rFonts w:ascii="Times New Roman" w:hAnsi="Times New Roman" w:cs="Times New Roman"/>
          <w:sz w:val="24"/>
          <w:szCs w:val="24"/>
        </w:rPr>
        <w:t>«</w:t>
      </w:r>
      <w:r w:rsidR="00003CAC" w:rsidRPr="007917A1">
        <w:rPr>
          <w:rFonts w:ascii="Times New Roman" w:hAnsi="Times New Roman" w:cs="Times New Roman"/>
          <w:sz w:val="24"/>
          <w:szCs w:val="24"/>
        </w:rPr>
        <w:t xml:space="preserve">эффект </w:t>
      </w:r>
      <w:r w:rsidRPr="007917A1">
        <w:rPr>
          <w:rFonts w:ascii="Times New Roman" w:hAnsi="Times New Roman" w:cs="Times New Roman"/>
          <w:sz w:val="24"/>
          <w:szCs w:val="24"/>
        </w:rPr>
        <w:t>пр</w:t>
      </w:r>
      <w:r w:rsidR="00003CAC" w:rsidRPr="007917A1">
        <w:rPr>
          <w:rFonts w:ascii="Times New Roman" w:hAnsi="Times New Roman" w:cs="Times New Roman"/>
          <w:sz w:val="24"/>
          <w:szCs w:val="24"/>
        </w:rPr>
        <w:t>едложения</w:t>
      </w:r>
      <w:r w:rsidR="007A28A4" w:rsidRPr="007917A1">
        <w:rPr>
          <w:rFonts w:ascii="Times New Roman" w:hAnsi="Times New Roman" w:cs="Times New Roman"/>
          <w:sz w:val="24"/>
          <w:szCs w:val="24"/>
        </w:rPr>
        <w:t>»</w:t>
      </w:r>
      <w:r w:rsidR="00003CAC" w:rsidRPr="007917A1">
        <w:rPr>
          <w:rFonts w:ascii="Times New Roman" w:hAnsi="Times New Roman" w:cs="Times New Roman"/>
          <w:sz w:val="24"/>
          <w:szCs w:val="24"/>
        </w:rPr>
        <w:t xml:space="preserve">. В большинстве развитых экономик, цены на рынке недвижимости предвосхищают кредитные и бизнес-циклы. Это указывает на то, что флуктуации цен на рынке недвижимости создают «волны» в экономике путем воздействия на инвестиции в недвижимость, потребление и кредит, в то время как обратный эффект не настолько выражен, имея в виду что рынок недвижимости может быть источником шоков </w:t>
      </w:r>
      <w:r w:rsidR="00B52E9F" w:rsidRPr="007917A1">
        <w:rPr>
          <w:rFonts w:ascii="Times New Roman" w:hAnsi="Times New Roman" w:cs="Times New Roman"/>
          <w:sz w:val="24"/>
          <w:szCs w:val="24"/>
        </w:rPr>
        <w:t>(</w:t>
      </w:r>
      <w:r w:rsidR="00003CAC" w:rsidRPr="007917A1">
        <w:rPr>
          <w:rFonts w:ascii="Times New Roman" w:hAnsi="Times New Roman" w:cs="Times New Roman"/>
          <w:sz w:val="24"/>
          <w:szCs w:val="24"/>
        </w:rPr>
        <w:t>в экономике</w:t>
      </w:r>
      <w:r w:rsidR="00B52E9F" w:rsidRPr="007917A1">
        <w:rPr>
          <w:rFonts w:ascii="Times New Roman" w:hAnsi="Times New Roman" w:cs="Times New Roman"/>
          <w:sz w:val="24"/>
          <w:szCs w:val="24"/>
        </w:rPr>
        <w:t>)</w:t>
      </w:r>
      <w:r w:rsidR="00003CAC" w:rsidRPr="007917A1">
        <w:rPr>
          <w:rFonts w:ascii="Times New Roman" w:hAnsi="Times New Roman" w:cs="Times New Roman"/>
          <w:sz w:val="24"/>
          <w:szCs w:val="24"/>
        </w:rPr>
        <w:t>. Рецессии, которые совпадают с кризисами на рынке недвижимости имеют тенденцию быть более глубокими и продолжаться дольше</w:t>
      </w:r>
      <w:r w:rsidR="003675F3" w:rsidRPr="007917A1">
        <w:rPr>
          <w:rFonts w:ascii="Times New Roman" w:hAnsi="Times New Roman" w:cs="Times New Roman"/>
          <w:sz w:val="24"/>
          <w:szCs w:val="24"/>
        </w:rPr>
        <w:t>,</w:t>
      </w:r>
      <w:r w:rsidR="00003CAC" w:rsidRPr="007917A1">
        <w:rPr>
          <w:rFonts w:ascii="Times New Roman" w:hAnsi="Times New Roman" w:cs="Times New Roman"/>
          <w:sz w:val="24"/>
          <w:szCs w:val="24"/>
        </w:rPr>
        <w:t xml:space="preserve"> чем те</w:t>
      </w:r>
      <w:r w:rsidR="007A28A4" w:rsidRPr="007917A1">
        <w:rPr>
          <w:rFonts w:ascii="Times New Roman" w:hAnsi="Times New Roman" w:cs="Times New Roman"/>
          <w:sz w:val="24"/>
          <w:szCs w:val="24"/>
        </w:rPr>
        <w:t>,</w:t>
      </w:r>
      <w:r w:rsidR="00003CAC" w:rsidRPr="007917A1">
        <w:rPr>
          <w:rFonts w:ascii="Times New Roman" w:hAnsi="Times New Roman" w:cs="Times New Roman"/>
          <w:sz w:val="24"/>
          <w:szCs w:val="24"/>
        </w:rPr>
        <w:t xml:space="preserve"> которые не совпадают </w:t>
      </w:r>
      <w:r w:rsidR="00B52E9F" w:rsidRPr="007917A1">
        <w:rPr>
          <w:rFonts w:ascii="Times New Roman" w:hAnsi="Times New Roman" w:cs="Times New Roman"/>
          <w:sz w:val="24"/>
          <w:szCs w:val="24"/>
        </w:rPr>
        <w:t>(</w:t>
      </w:r>
      <w:r w:rsidR="00003CAC" w:rsidRPr="007917A1">
        <w:rPr>
          <w:rFonts w:ascii="Times New Roman" w:hAnsi="Times New Roman" w:cs="Times New Roman"/>
          <w:sz w:val="24"/>
          <w:szCs w:val="24"/>
        </w:rPr>
        <w:t>с кризисом на рынке недвижимости</w:t>
      </w:r>
      <w:r w:rsidR="00B52E9F" w:rsidRPr="007917A1">
        <w:rPr>
          <w:rFonts w:ascii="Times New Roman" w:hAnsi="Times New Roman" w:cs="Times New Roman"/>
          <w:sz w:val="24"/>
          <w:szCs w:val="24"/>
        </w:rPr>
        <w:t>)</w:t>
      </w:r>
      <w:r w:rsidR="00003CAC" w:rsidRPr="007917A1">
        <w:rPr>
          <w:rFonts w:ascii="Times New Roman" w:hAnsi="Times New Roman" w:cs="Times New Roman"/>
          <w:sz w:val="24"/>
          <w:szCs w:val="24"/>
        </w:rPr>
        <w:t xml:space="preserve">, а их совокупный эффект потерь для экономики </w:t>
      </w:r>
      <w:r w:rsidR="003675F3" w:rsidRPr="007917A1">
        <w:rPr>
          <w:rFonts w:ascii="Times New Roman" w:hAnsi="Times New Roman" w:cs="Times New Roman"/>
          <w:sz w:val="24"/>
          <w:szCs w:val="24"/>
        </w:rPr>
        <w:t xml:space="preserve">в среднем </w:t>
      </w:r>
      <w:r w:rsidR="00003CAC" w:rsidRPr="007917A1">
        <w:rPr>
          <w:rFonts w:ascii="Times New Roman" w:hAnsi="Times New Roman" w:cs="Times New Roman"/>
          <w:sz w:val="24"/>
          <w:szCs w:val="24"/>
        </w:rPr>
        <w:t xml:space="preserve">в три раза выше. В завершение, рецессии, которые возникают в результате спадов на рынке акций не </w:t>
      </w:r>
      <w:r w:rsidR="003675F3" w:rsidRPr="007917A1">
        <w:rPr>
          <w:rFonts w:ascii="Times New Roman" w:hAnsi="Times New Roman" w:cs="Times New Roman"/>
          <w:sz w:val="24"/>
          <w:szCs w:val="24"/>
        </w:rPr>
        <w:t>наносят больший урон и не продолжаются дольше, чем рецессии, не совпадающие со спадом на рынках акций</w:t>
      </w:r>
      <w:r w:rsidRPr="007917A1">
        <w:rPr>
          <w:rFonts w:ascii="Times New Roman" w:hAnsi="Times New Roman" w:cs="Times New Roman"/>
          <w:sz w:val="24"/>
          <w:szCs w:val="24"/>
        </w:rPr>
        <w:t>»</w:t>
      </w:r>
      <w:r w:rsidR="003675F3" w:rsidRPr="007917A1">
        <w:rPr>
          <w:rFonts w:ascii="Times New Roman" w:hAnsi="Times New Roman" w:cs="Times New Roman"/>
          <w:sz w:val="24"/>
          <w:szCs w:val="24"/>
        </w:rPr>
        <w:t>.</w:t>
      </w:r>
    </w:p>
    <w:p w:rsidR="00557FA9" w:rsidRPr="007917A1" w:rsidRDefault="00557FA9" w:rsidP="004B41CB">
      <w:pPr>
        <w:spacing w:before="120" w:after="0" w:line="360" w:lineRule="auto"/>
        <w:jc w:val="both"/>
        <w:rPr>
          <w:rFonts w:ascii="Times New Roman" w:hAnsi="Times New Roman" w:cs="Times New Roman"/>
          <w:sz w:val="24"/>
          <w:szCs w:val="24"/>
        </w:rPr>
      </w:pPr>
      <w:r w:rsidRPr="007917A1">
        <w:rPr>
          <w:rFonts w:ascii="Times New Roman" w:hAnsi="Times New Roman" w:cs="Times New Roman"/>
          <w:sz w:val="24"/>
          <w:szCs w:val="24"/>
        </w:rPr>
        <w:t xml:space="preserve">Очевидно, что в данном случае признается не только важная роль недвижимости и рынков недвижимости в финансовых кризисах, но и практически центральная – в </w:t>
      </w:r>
      <w:r w:rsidR="00A53D52" w:rsidRPr="007917A1">
        <w:rPr>
          <w:rFonts w:ascii="Times New Roman" w:hAnsi="Times New Roman" w:cs="Times New Roman"/>
          <w:sz w:val="24"/>
          <w:szCs w:val="24"/>
        </w:rPr>
        <w:t>наиболее серьезных из них</w:t>
      </w:r>
      <w:r w:rsidR="007A28A4" w:rsidRPr="007917A1">
        <w:rPr>
          <w:rFonts w:ascii="Times New Roman" w:hAnsi="Times New Roman" w:cs="Times New Roman"/>
          <w:sz w:val="24"/>
          <w:szCs w:val="24"/>
        </w:rPr>
        <w:t>.</w:t>
      </w:r>
      <w:r w:rsidR="00A53D52" w:rsidRPr="007917A1">
        <w:rPr>
          <w:rFonts w:ascii="Times New Roman" w:hAnsi="Times New Roman" w:cs="Times New Roman"/>
          <w:sz w:val="24"/>
          <w:szCs w:val="24"/>
        </w:rPr>
        <w:t xml:space="preserve"> </w:t>
      </w:r>
      <w:r w:rsidR="007A28A4" w:rsidRPr="007917A1">
        <w:rPr>
          <w:rFonts w:ascii="Times New Roman" w:hAnsi="Times New Roman" w:cs="Times New Roman"/>
          <w:sz w:val="24"/>
          <w:szCs w:val="24"/>
        </w:rPr>
        <w:t>В</w:t>
      </w:r>
      <w:r w:rsidR="00A53D52" w:rsidRPr="007917A1">
        <w:rPr>
          <w:rFonts w:ascii="Times New Roman" w:hAnsi="Times New Roman" w:cs="Times New Roman"/>
          <w:sz w:val="24"/>
          <w:szCs w:val="24"/>
        </w:rPr>
        <w:t xml:space="preserve">ыводы при этом базируются в существенной мере на глубоком понимании особенностей рынков недвижимости: относительной </w:t>
      </w:r>
      <w:proofErr w:type="spellStart"/>
      <w:r w:rsidR="00A53D52" w:rsidRPr="007917A1">
        <w:rPr>
          <w:rFonts w:ascii="Times New Roman" w:hAnsi="Times New Roman" w:cs="Times New Roman"/>
          <w:sz w:val="24"/>
          <w:szCs w:val="24"/>
        </w:rPr>
        <w:t>неликвидности</w:t>
      </w:r>
      <w:proofErr w:type="spellEnd"/>
      <w:r w:rsidR="00A53D52" w:rsidRPr="007917A1">
        <w:rPr>
          <w:rFonts w:ascii="Times New Roman" w:hAnsi="Times New Roman" w:cs="Times New Roman"/>
          <w:sz w:val="24"/>
          <w:szCs w:val="24"/>
        </w:rPr>
        <w:t xml:space="preserve">, непрозрачности и «негативных </w:t>
      </w:r>
      <w:proofErr w:type="spellStart"/>
      <w:r w:rsidR="00A53D52" w:rsidRPr="007917A1">
        <w:rPr>
          <w:rFonts w:ascii="Times New Roman" w:hAnsi="Times New Roman" w:cs="Times New Roman"/>
          <w:sz w:val="24"/>
          <w:szCs w:val="24"/>
        </w:rPr>
        <w:t>экстерналиях</w:t>
      </w:r>
      <w:proofErr w:type="spellEnd"/>
      <w:r w:rsidR="00A53D52" w:rsidRPr="007917A1">
        <w:rPr>
          <w:rFonts w:ascii="Times New Roman" w:hAnsi="Times New Roman" w:cs="Times New Roman"/>
          <w:sz w:val="24"/>
          <w:szCs w:val="24"/>
        </w:rPr>
        <w:t>» (</w:t>
      </w:r>
      <w:r w:rsidR="00250621" w:rsidRPr="007917A1">
        <w:rPr>
          <w:rFonts w:ascii="Times New Roman" w:hAnsi="Times New Roman" w:cs="Times New Roman"/>
          <w:sz w:val="24"/>
          <w:szCs w:val="24"/>
        </w:rPr>
        <w:t>например,</w:t>
      </w:r>
      <w:r w:rsidR="00A53D52" w:rsidRPr="007917A1">
        <w:rPr>
          <w:rFonts w:ascii="Times New Roman" w:hAnsi="Times New Roman" w:cs="Times New Roman"/>
          <w:sz w:val="24"/>
          <w:szCs w:val="24"/>
        </w:rPr>
        <w:t xml:space="preserve"> воздействие на занятость и мобильность)</w:t>
      </w:r>
      <w:r w:rsidR="007A28A4" w:rsidRPr="007917A1">
        <w:rPr>
          <w:rFonts w:ascii="Times New Roman" w:hAnsi="Times New Roman" w:cs="Times New Roman"/>
          <w:sz w:val="24"/>
          <w:szCs w:val="24"/>
        </w:rPr>
        <w:t xml:space="preserve"> кризисов на рынке недвижимости</w:t>
      </w:r>
      <w:r w:rsidR="00A53D52" w:rsidRPr="007917A1">
        <w:rPr>
          <w:rFonts w:ascii="Times New Roman" w:hAnsi="Times New Roman" w:cs="Times New Roman"/>
          <w:sz w:val="24"/>
          <w:szCs w:val="24"/>
        </w:rPr>
        <w:t>.</w:t>
      </w:r>
    </w:p>
    <w:p w:rsidR="00F6713A" w:rsidRPr="007917A1" w:rsidRDefault="00F6713A" w:rsidP="00F6713A">
      <w:pPr>
        <w:spacing w:before="120" w:after="0" w:line="360" w:lineRule="auto"/>
        <w:jc w:val="both"/>
        <w:rPr>
          <w:rFonts w:ascii="Times New Roman" w:hAnsi="Times New Roman" w:cs="Times New Roman"/>
          <w:sz w:val="24"/>
          <w:szCs w:val="24"/>
        </w:rPr>
      </w:pPr>
      <w:r w:rsidRPr="007917A1">
        <w:rPr>
          <w:rFonts w:ascii="Times New Roman" w:hAnsi="Times New Roman" w:cs="Times New Roman"/>
          <w:sz w:val="24"/>
          <w:szCs w:val="24"/>
        </w:rPr>
        <w:t xml:space="preserve">Очевидно, что в западных академических источниках и общей методологии </w:t>
      </w:r>
      <w:r w:rsidR="00E26C10" w:rsidRPr="007917A1">
        <w:rPr>
          <w:rFonts w:ascii="Times New Roman" w:hAnsi="Times New Roman" w:cs="Times New Roman"/>
          <w:sz w:val="24"/>
          <w:szCs w:val="24"/>
        </w:rPr>
        <w:t>прогнозирования</w:t>
      </w:r>
      <w:r w:rsidRPr="007917A1">
        <w:rPr>
          <w:rFonts w:ascii="Times New Roman" w:hAnsi="Times New Roman" w:cs="Times New Roman"/>
          <w:sz w:val="24"/>
          <w:szCs w:val="24"/>
        </w:rPr>
        <w:t xml:space="preserve"> банковск</w:t>
      </w:r>
      <w:r w:rsidR="00496091" w:rsidRPr="007917A1">
        <w:rPr>
          <w:rFonts w:ascii="Times New Roman" w:hAnsi="Times New Roman" w:cs="Times New Roman"/>
          <w:sz w:val="24"/>
          <w:szCs w:val="24"/>
        </w:rPr>
        <w:t xml:space="preserve">их кризисов, </w:t>
      </w:r>
      <w:r w:rsidR="00CC1C4E" w:rsidRPr="007917A1">
        <w:rPr>
          <w:rFonts w:ascii="Times New Roman" w:hAnsi="Times New Roman" w:cs="Times New Roman"/>
          <w:sz w:val="24"/>
          <w:szCs w:val="24"/>
        </w:rPr>
        <w:t xml:space="preserve">индикаторы </w:t>
      </w:r>
      <w:r w:rsidRPr="007917A1">
        <w:rPr>
          <w:rFonts w:ascii="Times New Roman" w:hAnsi="Times New Roman" w:cs="Times New Roman"/>
          <w:sz w:val="24"/>
          <w:szCs w:val="24"/>
        </w:rPr>
        <w:t>рынк</w:t>
      </w:r>
      <w:r w:rsidR="00CC1C4E" w:rsidRPr="007917A1">
        <w:rPr>
          <w:rFonts w:ascii="Times New Roman" w:hAnsi="Times New Roman" w:cs="Times New Roman"/>
          <w:sz w:val="24"/>
          <w:szCs w:val="24"/>
        </w:rPr>
        <w:t>а</w:t>
      </w:r>
      <w:r w:rsidRPr="007917A1">
        <w:rPr>
          <w:rFonts w:ascii="Times New Roman" w:hAnsi="Times New Roman" w:cs="Times New Roman"/>
          <w:sz w:val="24"/>
          <w:szCs w:val="24"/>
        </w:rPr>
        <w:t xml:space="preserve"> недвижимости занимают </w:t>
      </w:r>
      <w:r w:rsidR="00CC1C4E" w:rsidRPr="007917A1">
        <w:rPr>
          <w:rFonts w:ascii="Times New Roman" w:hAnsi="Times New Roman" w:cs="Times New Roman"/>
          <w:sz w:val="24"/>
          <w:szCs w:val="24"/>
        </w:rPr>
        <w:t>одной из центральных мест наряду с показателями достаточности капитала, ликвидности и счета текущих операций [</w:t>
      </w:r>
      <w:r w:rsidR="00351B12" w:rsidRPr="007917A1">
        <w:rPr>
          <w:rFonts w:ascii="Times New Roman" w:hAnsi="Times New Roman" w:cs="Times New Roman"/>
          <w:sz w:val="24"/>
          <w:szCs w:val="24"/>
        </w:rPr>
        <w:fldChar w:fldCharType="begin"/>
      </w:r>
      <w:r w:rsidR="00351B12" w:rsidRPr="007917A1">
        <w:rPr>
          <w:rFonts w:ascii="Times New Roman" w:hAnsi="Times New Roman" w:cs="Times New Roman"/>
          <w:sz w:val="24"/>
          <w:szCs w:val="24"/>
        </w:rPr>
        <w:instrText xml:space="preserve"> REF _Ref529178224 \r \h </w:instrText>
      </w:r>
      <w:r w:rsidR="00351B12" w:rsidRPr="007917A1">
        <w:rPr>
          <w:rFonts w:ascii="Times New Roman" w:hAnsi="Times New Roman" w:cs="Times New Roman"/>
          <w:sz w:val="24"/>
          <w:szCs w:val="24"/>
        </w:rPr>
      </w:r>
      <w:r w:rsidR="007917A1">
        <w:rPr>
          <w:rFonts w:ascii="Times New Roman" w:hAnsi="Times New Roman" w:cs="Times New Roman"/>
          <w:sz w:val="24"/>
          <w:szCs w:val="24"/>
        </w:rPr>
        <w:instrText xml:space="preserve"> \* MERGEFORMAT </w:instrText>
      </w:r>
      <w:r w:rsidR="00351B12" w:rsidRPr="007917A1">
        <w:rPr>
          <w:rFonts w:ascii="Times New Roman" w:hAnsi="Times New Roman" w:cs="Times New Roman"/>
          <w:sz w:val="24"/>
          <w:szCs w:val="24"/>
        </w:rPr>
        <w:fldChar w:fldCharType="separate"/>
      </w:r>
      <w:r w:rsidR="008E4DB6" w:rsidRPr="007917A1">
        <w:rPr>
          <w:rFonts w:ascii="Times New Roman" w:hAnsi="Times New Roman" w:cs="Times New Roman"/>
          <w:sz w:val="24"/>
          <w:szCs w:val="24"/>
        </w:rPr>
        <w:t>7</w:t>
      </w:r>
      <w:r w:rsidR="00351B12" w:rsidRPr="007917A1">
        <w:rPr>
          <w:rFonts w:ascii="Times New Roman" w:hAnsi="Times New Roman" w:cs="Times New Roman"/>
          <w:sz w:val="24"/>
          <w:szCs w:val="24"/>
        </w:rPr>
        <w:fldChar w:fldCharType="end"/>
      </w:r>
      <w:r w:rsidR="00C51D41" w:rsidRPr="007917A1">
        <w:rPr>
          <w:rFonts w:ascii="Times New Roman" w:hAnsi="Times New Roman" w:cs="Times New Roman"/>
          <w:sz w:val="24"/>
          <w:szCs w:val="24"/>
        </w:rPr>
        <w:t>], [</w:t>
      </w:r>
      <w:r w:rsidR="00231AB5" w:rsidRPr="007917A1">
        <w:rPr>
          <w:rFonts w:ascii="Times New Roman" w:hAnsi="Times New Roman" w:cs="Times New Roman"/>
          <w:sz w:val="24"/>
          <w:szCs w:val="24"/>
        </w:rPr>
        <w:fldChar w:fldCharType="begin"/>
      </w:r>
      <w:r w:rsidR="00231AB5" w:rsidRPr="007917A1">
        <w:rPr>
          <w:rFonts w:ascii="Times New Roman" w:hAnsi="Times New Roman" w:cs="Times New Roman"/>
          <w:sz w:val="24"/>
          <w:szCs w:val="24"/>
        </w:rPr>
        <w:instrText xml:space="preserve"> REF _Ref529178246 \r \h </w:instrText>
      </w:r>
      <w:r w:rsidR="00231AB5" w:rsidRPr="007917A1">
        <w:rPr>
          <w:rFonts w:ascii="Times New Roman" w:hAnsi="Times New Roman" w:cs="Times New Roman"/>
          <w:sz w:val="24"/>
          <w:szCs w:val="24"/>
        </w:rPr>
      </w:r>
      <w:r w:rsidR="007917A1">
        <w:rPr>
          <w:rFonts w:ascii="Times New Roman" w:hAnsi="Times New Roman" w:cs="Times New Roman"/>
          <w:sz w:val="24"/>
          <w:szCs w:val="24"/>
        </w:rPr>
        <w:instrText xml:space="preserve"> \* MERGEFORMAT </w:instrText>
      </w:r>
      <w:r w:rsidR="00231AB5" w:rsidRPr="007917A1">
        <w:rPr>
          <w:rFonts w:ascii="Times New Roman" w:hAnsi="Times New Roman" w:cs="Times New Roman"/>
          <w:sz w:val="24"/>
          <w:szCs w:val="24"/>
        </w:rPr>
        <w:fldChar w:fldCharType="separate"/>
      </w:r>
      <w:r w:rsidR="008E4DB6" w:rsidRPr="007917A1">
        <w:rPr>
          <w:rFonts w:ascii="Times New Roman" w:hAnsi="Times New Roman" w:cs="Times New Roman"/>
          <w:sz w:val="24"/>
          <w:szCs w:val="24"/>
        </w:rPr>
        <w:t>8</w:t>
      </w:r>
      <w:r w:rsidR="00231AB5" w:rsidRPr="007917A1">
        <w:rPr>
          <w:rFonts w:ascii="Times New Roman" w:hAnsi="Times New Roman" w:cs="Times New Roman"/>
          <w:sz w:val="24"/>
          <w:szCs w:val="24"/>
        </w:rPr>
        <w:fldChar w:fldCharType="end"/>
      </w:r>
      <w:r w:rsidR="00CC1C4E" w:rsidRPr="007917A1">
        <w:rPr>
          <w:rFonts w:ascii="Times New Roman" w:hAnsi="Times New Roman" w:cs="Times New Roman"/>
          <w:sz w:val="24"/>
          <w:szCs w:val="24"/>
        </w:rPr>
        <w:t>].</w:t>
      </w:r>
      <w:r w:rsidR="00496091" w:rsidRPr="007917A1">
        <w:rPr>
          <w:rFonts w:ascii="Times New Roman" w:hAnsi="Times New Roman" w:cs="Times New Roman"/>
          <w:sz w:val="24"/>
          <w:szCs w:val="24"/>
        </w:rPr>
        <w:t xml:space="preserve"> При этом также признаётся существенная инертность рынков недвижимости и долгосрочность их воздействия на экономику [</w:t>
      </w:r>
      <w:r w:rsidR="00496091" w:rsidRPr="007917A1">
        <w:rPr>
          <w:rFonts w:ascii="Times New Roman" w:hAnsi="Times New Roman" w:cs="Times New Roman"/>
          <w:sz w:val="24"/>
          <w:szCs w:val="24"/>
        </w:rPr>
        <w:fldChar w:fldCharType="begin"/>
      </w:r>
      <w:r w:rsidR="00496091" w:rsidRPr="007917A1">
        <w:rPr>
          <w:rFonts w:ascii="Times New Roman" w:hAnsi="Times New Roman" w:cs="Times New Roman"/>
          <w:sz w:val="24"/>
          <w:szCs w:val="24"/>
        </w:rPr>
        <w:instrText xml:space="preserve"> REF _Ref529180267 \r \h </w:instrText>
      </w:r>
      <w:r w:rsidR="00496091" w:rsidRPr="007917A1">
        <w:rPr>
          <w:rFonts w:ascii="Times New Roman" w:hAnsi="Times New Roman" w:cs="Times New Roman"/>
          <w:sz w:val="24"/>
          <w:szCs w:val="24"/>
        </w:rPr>
      </w:r>
      <w:r w:rsidR="007917A1">
        <w:rPr>
          <w:rFonts w:ascii="Times New Roman" w:hAnsi="Times New Roman" w:cs="Times New Roman"/>
          <w:sz w:val="24"/>
          <w:szCs w:val="24"/>
        </w:rPr>
        <w:instrText xml:space="preserve"> \* MERGEFORMAT </w:instrText>
      </w:r>
      <w:r w:rsidR="00496091" w:rsidRPr="007917A1">
        <w:rPr>
          <w:rFonts w:ascii="Times New Roman" w:hAnsi="Times New Roman" w:cs="Times New Roman"/>
          <w:sz w:val="24"/>
          <w:szCs w:val="24"/>
        </w:rPr>
        <w:fldChar w:fldCharType="separate"/>
      </w:r>
      <w:r w:rsidR="008E4DB6" w:rsidRPr="007917A1">
        <w:rPr>
          <w:rFonts w:ascii="Times New Roman" w:hAnsi="Times New Roman" w:cs="Times New Roman"/>
          <w:sz w:val="24"/>
          <w:szCs w:val="24"/>
        </w:rPr>
        <w:t>9</w:t>
      </w:r>
      <w:r w:rsidR="00496091" w:rsidRPr="007917A1">
        <w:rPr>
          <w:rFonts w:ascii="Times New Roman" w:hAnsi="Times New Roman" w:cs="Times New Roman"/>
          <w:sz w:val="24"/>
          <w:szCs w:val="24"/>
        </w:rPr>
        <w:fldChar w:fldCharType="end"/>
      </w:r>
      <w:r w:rsidR="00496091" w:rsidRPr="007917A1">
        <w:rPr>
          <w:rFonts w:ascii="Times New Roman" w:hAnsi="Times New Roman" w:cs="Times New Roman"/>
          <w:sz w:val="24"/>
          <w:szCs w:val="24"/>
        </w:rPr>
        <w:t>]</w:t>
      </w:r>
      <w:r w:rsidR="00C12AFB" w:rsidRPr="007917A1">
        <w:rPr>
          <w:rFonts w:ascii="Times New Roman" w:hAnsi="Times New Roman" w:cs="Times New Roman"/>
          <w:sz w:val="24"/>
          <w:szCs w:val="24"/>
        </w:rPr>
        <w:t>, а также способность секьюритизации ипотеки вызывать «кредитные шоки» [</w:t>
      </w:r>
      <w:r w:rsidR="005E2D77" w:rsidRPr="007917A1">
        <w:rPr>
          <w:rFonts w:ascii="Times New Roman" w:hAnsi="Times New Roman" w:cs="Times New Roman"/>
          <w:sz w:val="24"/>
          <w:szCs w:val="24"/>
        </w:rPr>
        <w:fldChar w:fldCharType="begin"/>
      </w:r>
      <w:r w:rsidR="005E2D77" w:rsidRPr="007917A1">
        <w:rPr>
          <w:rFonts w:ascii="Times New Roman" w:hAnsi="Times New Roman" w:cs="Times New Roman"/>
          <w:sz w:val="24"/>
          <w:szCs w:val="24"/>
        </w:rPr>
        <w:instrText xml:space="preserve"> REF _Ref529189257 \r \h </w:instrText>
      </w:r>
      <w:r w:rsidR="005E2D77" w:rsidRPr="007917A1">
        <w:rPr>
          <w:rFonts w:ascii="Times New Roman" w:hAnsi="Times New Roman" w:cs="Times New Roman"/>
          <w:sz w:val="24"/>
          <w:szCs w:val="24"/>
        </w:rPr>
      </w:r>
      <w:r w:rsidR="007917A1">
        <w:rPr>
          <w:rFonts w:ascii="Times New Roman" w:hAnsi="Times New Roman" w:cs="Times New Roman"/>
          <w:sz w:val="24"/>
          <w:szCs w:val="24"/>
        </w:rPr>
        <w:instrText xml:space="preserve"> \* MERGEFORMAT </w:instrText>
      </w:r>
      <w:r w:rsidR="005E2D77" w:rsidRPr="007917A1">
        <w:rPr>
          <w:rFonts w:ascii="Times New Roman" w:hAnsi="Times New Roman" w:cs="Times New Roman"/>
          <w:sz w:val="24"/>
          <w:szCs w:val="24"/>
        </w:rPr>
        <w:fldChar w:fldCharType="separate"/>
      </w:r>
      <w:r w:rsidR="008E4DB6" w:rsidRPr="007917A1">
        <w:rPr>
          <w:rFonts w:ascii="Times New Roman" w:hAnsi="Times New Roman" w:cs="Times New Roman"/>
          <w:sz w:val="24"/>
          <w:szCs w:val="24"/>
        </w:rPr>
        <w:t>10</w:t>
      </w:r>
      <w:r w:rsidR="005E2D77" w:rsidRPr="007917A1">
        <w:rPr>
          <w:rFonts w:ascii="Times New Roman" w:hAnsi="Times New Roman" w:cs="Times New Roman"/>
          <w:sz w:val="24"/>
          <w:szCs w:val="24"/>
        </w:rPr>
        <w:fldChar w:fldCharType="end"/>
      </w:r>
      <w:r w:rsidR="00C12AFB" w:rsidRPr="007917A1">
        <w:rPr>
          <w:rFonts w:ascii="Times New Roman" w:hAnsi="Times New Roman" w:cs="Times New Roman"/>
          <w:sz w:val="24"/>
          <w:szCs w:val="24"/>
        </w:rPr>
        <w:t>]</w:t>
      </w:r>
      <w:r w:rsidR="004E5A0F" w:rsidRPr="007917A1">
        <w:rPr>
          <w:rFonts w:ascii="Times New Roman" w:hAnsi="Times New Roman" w:cs="Times New Roman"/>
          <w:sz w:val="24"/>
          <w:szCs w:val="24"/>
        </w:rPr>
        <w:t xml:space="preserve"> и способность циклов на рынке недвижимости оказывать существенное влияние на доходность банковского сектора [</w:t>
      </w:r>
      <w:r w:rsidR="0021329E" w:rsidRPr="007917A1">
        <w:rPr>
          <w:rFonts w:ascii="Times New Roman" w:hAnsi="Times New Roman" w:cs="Times New Roman"/>
          <w:sz w:val="24"/>
          <w:szCs w:val="24"/>
        </w:rPr>
        <w:fldChar w:fldCharType="begin"/>
      </w:r>
      <w:r w:rsidR="0021329E" w:rsidRPr="007917A1">
        <w:rPr>
          <w:rFonts w:ascii="Times New Roman" w:hAnsi="Times New Roman" w:cs="Times New Roman"/>
          <w:sz w:val="24"/>
          <w:szCs w:val="24"/>
        </w:rPr>
        <w:instrText xml:space="preserve"> REF _Ref529198049 \r \h </w:instrText>
      </w:r>
      <w:r w:rsidR="0021329E" w:rsidRPr="007917A1">
        <w:rPr>
          <w:rFonts w:ascii="Times New Roman" w:hAnsi="Times New Roman" w:cs="Times New Roman"/>
          <w:sz w:val="24"/>
          <w:szCs w:val="24"/>
        </w:rPr>
      </w:r>
      <w:r w:rsidR="007917A1">
        <w:rPr>
          <w:rFonts w:ascii="Times New Roman" w:hAnsi="Times New Roman" w:cs="Times New Roman"/>
          <w:sz w:val="24"/>
          <w:szCs w:val="24"/>
        </w:rPr>
        <w:instrText xml:space="preserve"> \* MERGEFORMAT </w:instrText>
      </w:r>
      <w:r w:rsidR="0021329E" w:rsidRPr="007917A1">
        <w:rPr>
          <w:rFonts w:ascii="Times New Roman" w:hAnsi="Times New Roman" w:cs="Times New Roman"/>
          <w:sz w:val="24"/>
          <w:szCs w:val="24"/>
        </w:rPr>
        <w:fldChar w:fldCharType="separate"/>
      </w:r>
      <w:r w:rsidR="008E4DB6" w:rsidRPr="007917A1">
        <w:rPr>
          <w:rFonts w:ascii="Times New Roman" w:hAnsi="Times New Roman" w:cs="Times New Roman"/>
          <w:sz w:val="24"/>
          <w:szCs w:val="24"/>
        </w:rPr>
        <w:t>11</w:t>
      </w:r>
      <w:r w:rsidR="0021329E" w:rsidRPr="007917A1">
        <w:rPr>
          <w:rFonts w:ascii="Times New Roman" w:hAnsi="Times New Roman" w:cs="Times New Roman"/>
          <w:sz w:val="24"/>
          <w:szCs w:val="24"/>
        </w:rPr>
        <w:fldChar w:fldCharType="end"/>
      </w:r>
      <w:r w:rsidR="004E5A0F" w:rsidRPr="007917A1">
        <w:rPr>
          <w:rFonts w:ascii="Times New Roman" w:hAnsi="Times New Roman" w:cs="Times New Roman"/>
          <w:sz w:val="24"/>
          <w:szCs w:val="24"/>
        </w:rPr>
        <w:t>]</w:t>
      </w:r>
      <w:r w:rsidR="001B046D" w:rsidRPr="007917A1">
        <w:rPr>
          <w:rFonts w:ascii="Times New Roman" w:hAnsi="Times New Roman" w:cs="Times New Roman"/>
          <w:sz w:val="24"/>
          <w:szCs w:val="24"/>
        </w:rPr>
        <w:t>.</w:t>
      </w:r>
    </w:p>
    <w:p w:rsidR="0021344C" w:rsidRPr="007917A1" w:rsidRDefault="00FA3583" w:rsidP="004B41CB">
      <w:pPr>
        <w:spacing w:before="120" w:after="0" w:line="360" w:lineRule="auto"/>
        <w:rPr>
          <w:rFonts w:ascii="Times New Roman" w:eastAsia="Times New Roman" w:hAnsi="Times New Roman" w:cs="Times New Roman"/>
          <w:b/>
          <w:sz w:val="24"/>
          <w:szCs w:val="24"/>
          <w:lang w:eastAsia="ru-RU"/>
        </w:rPr>
      </w:pPr>
      <w:r w:rsidRPr="007917A1">
        <w:rPr>
          <w:rFonts w:ascii="Times New Roman" w:eastAsia="Times New Roman" w:hAnsi="Times New Roman" w:cs="Times New Roman"/>
          <w:b/>
          <w:sz w:val="24"/>
          <w:szCs w:val="24"/>
          <w:lang w:eastAsia="ru-RU"/>
        </w:rPr>
        <w:t xml:space="preserve">Степень проработанности проблемы </w:t>
      </w:r>
      <w:r w:rsidR="00BC48A4" w:rsidRPr="007917A1">
        <w:rPr>
          <w:rFonts w:ascii="Times New Roman" w:eastAsia="Times New Roman" w:hAnsi="Times New Roman" w:cs="Times New Roman"/>
          <w:b/>
          <w:sz w:val="24"/>
          <w:szCs w:val="24"/>
          <w:lang w:eastAsia="ru-RU"/>
        </w:rPr>
        <w:t>в российской науке и практике</w:t>
      </w:r>
    </w:p>
    <w:p w:rsidR="00B52E9F" w:rsidRPr="007917A1" w:rsidRDefault="00934D9F" w:rsidP="004B41CB">
      <w:pPr>
        <w:spacing w:before="120" w:after="0" w:line="360" w:lineRule="auto"/>
        <w:jc w:val="both"/>
        <w:rPr>
          <w:rFonts w:ascii="Times New Roman" w:hAnsi="Times New Roman" w:cs="Times New Roman"/>
          <w:sz w:val="24"/>
          <w:szCs w:val="24"/>
        </w:rPr>
      </w:pPr>
      <w:r w:rsidRPr="007917A1">
        <w:rPr>
          <w:rFonts w:ascii="Times New Roman" w:hAnsi="Times New Roman" w:cs="Times New Roman"/>
          <w:sz w:val="24"/>
          <w:szCs w:val="24"/>
        </w:rPr>
        <w:t xml:space="preserve">Переходя </w:t>
      </w:r>
      <w:r w:rsidR="00BC539D" w:rsidRPr="007917A1">
        <w:rPr>
          <w:rFonts w:ascii="Times New Roman" w:hAnsi="Times New Roman" w:cs="Times New Roman"/>
          <w:sz w:val="24"/>
          <w:szCs w:val="24"/>
        </w:rPr>
        <w:t xml:space="preserve">к </w:t>
      </w:r>
      <w:r w:rsidRPr="007917A1">
        <w:rPr>
          <w:rFonts w:ascii="Times New Roman" w:hAnsi="Times New Roman" w:cs="Times New Roman"/>
          <w:sz w:val="24"/>
          <w:szCs w:val="24"/>
        </w:rPr>
        <w:t xml:space="preserve">анализу российской банковской системы и развитости регулирования в данной области, следует отметить, что банковская система </w:t>
      </w:r>
      <w:r w:rsidR="00BC539D" w:rsidRPr="007917A1">
        <w:rPr>
          <w:rFonts w:ascii="Times New Roman" w:hAnsi="Times New Roman" w:cs="Times New Roman"/>
          <w:sz w:val="24"/>
          <w:szCs w:val="24"/>
        </w:rPr>
        <w:t>стреми</w:t>
      </w:r>
      <w:r w:rsidR="000060D5" w:rsidRPr="007917A1">
        <w:rPr>
          <w:rFonts w:ascii="Times New Roman" w:hAnsi="Times New Roman" w:cs="Times New Roman"/>
          <w:sz w:val="24"/>
          <w:szCs w:val="24"/>
        </w:rPr>
        <w:t xml:space="preserve">тся модернизироваться в соответствии со стандартами </w:t>
      </w:r>
      <w:proofErr w:type="spellStart"/>
      <w:r w:rsidRPr="007917A1">
        <w:rPr>
          <w:rFonts w:ascii="Times New Roman" w:hAnsi="Times New Roman" w:cs="Times New Roman"/>
          <w:sz w:val="24"/>
          <w:szCs w:val="24"/>
        </w:rPr>
        <w:t>Базельского</w:t>
      </w:r>
      <w:proofErr w:type="spellEnd"/>
      <w:r w:rsidRPr="007917A1">
        <w:rPr>
          <w:rFonts w:ascii="Times New Roman" w:hAnsi="Times New Roman" w:cs="Times New Roman"/>
          <w:sz w:val="24"/>
          <w:szCs w:val="24"/>
        </w:rPr>
        <w:t xml:space="preserve"> комитета и адаптирует многие передовые технологии по управлению банковскими продуктами</w:t>
      </w:r>
      <w:r w:rsidR="00C95E98" w:rsidRPr="007917A1">
        <w:rPr>
          <w:rFonts w:ascii="Times New Roman" w:hAnsi="Times New Roman" w:cs="Times New Roman"/>
          <w:sz w:val="24"/>
          <w:szCs w:val="24"/>
        </w:rPr>
        <w:t>.</w:t>
      </w:r>
      <w:r w:rsidRPr="007917A1">
        <w:rPr>
          <w:rFonts w:ascii="Times New Roman" w:hAnsi="Times New Roman" w:cs="Times New Roman"/>
          <w:sz w:val="24"/>
          <w:szCs w:val="24"/>
        </w:rPr>
        <w:t xml:space="preserve"> </w:t>
      </w:r>
      <w:r w:rsidR="00C95E98" w:rsidRPr="007917A1">
        <w:rPr>
          <w:rFonts w:ascii="Times New Roman" w:hAnsi="Times New Roman" w:cs="Times New Roman"/>
          <w:sz w:val="24"/>
          <w:szCs w:val="24"/>
        </w:rPr>
        <w:t>При этом,</w:t>
      </w:r>
      <w:r w:rsidRPr="007917A1">
        <w:rPr>
          <w:rFonts w:ascii="Times New Roman" w:hAnsi="Times New Roman" w:cs="Times New Roman"/>
          <w:sz w:val="24"/>
          <w:szCs w:val="24"/>
        </w:rPr>
        <w:t xml:space="preserve"> Банк России способствует внедрению новых инструментов управления рисками (в частности, в соответствии с системой стандартов </w:t>
      </w:r>
      <w:proofErr w:type="spellStart"/>
      <w:r w:rsidRPr="007917A1">
        <w:rPr>
          <w:rFonts w:ascii="Times New Roman" w:hAnsi="Times New Roman" w:cs="Times New Roman"/>
          <w:sz w:val="24"/>
          <w:szCs w:val="24"/>
        </w:rPr>
        <w:t>Basel</w:t>
      </w:r>
      <w:proofErr w:type="spellEnd"/>
      <w:r w:rsidRPr="007917A1">
        <w:rPr>
          <w:rFonts w:ascii="Times New Roman" w:hAnsi="Times New Roman" w:cs="Times New Roman"/>
          <w:sz w:val="24"/>
          <w:szCs w:val="24"/>
        </w:rPr>
        <w:t xml:space="preserve"> III </w:t>
      </w:r>
      <w:r w:rsidR="00C95E98" w:rsidRPr="007917A1">
        <w:rPr>
          <w:rFonts w:ascii="Times New Roman" w:hAnsi="Times New Roman" w:cs="Times New Roman"/>
          <w:sz w:val="24"/>
          <w:szCs w:val="24"/>
        </w:rPr>
        <w:t xml:space="preserve">кредитные организации при существенности </w:t>
      </w:r>
      <w:r w:rsidR="00C95E98" w:rsidRPr="007917A1">
        <w:rPr>
          <w:rFonts w:ascii="Times New Roman" w:hAnsi="Times New Roman" w:cs="Times New Roman"/>
          <w:sz w:val="24"/>
          <w:szCs w:val="24"/>
        </w:rPr>
        <w:lastRenderedPageBreak/>
        <w:t>данной категории рисков, разрабатывают и внедряют политики управления риском изменения стоимости недвижимости</w:t>
      </w:r>
      <w:r w:rsidR="006D631C" w:rsidRPr="007917A1">
        <w:rPr>
          <w:rStyle w:val="a8"/>
          <w:rFonts w:ascii="Times New Roman" w:hAnsi="Times New Roman" w:cs="Times New Roman"/>
          <w:sz w:val="24"/>
          <w:szCs w:val="24"/>
        </w:rPr>
        <w:footnoteReference w:id="2"/>
      </w:r>
      <w:r w:rsidRPr="007917A1">
        <w:rPr>
          <w:rFonts w:ascii="Times New Roman" w:hAnsi="Times New Roman" w:cs="Times New Roman"/>
          <w:sz w:val="24"/>
          <w:szCs w:val="24"/>
        </w:rPr>
        <w:t>)</w:t>
      </w:r>
      <w:r w:rsidR="00C95E98" w:rsidRPr="007917A1">
        <w:rPr>
          <w:rFonts w:ascii="Times New Roman" w:hAnsi="Times New Roman" w:cs="Times New Roman"/>
          <w:sz w:val="24"/>
          <w:szCs w:val="24"/>
        </w:rPr>
        <w:t xml:space="preserve">. </w:t>
      </w:r>
    </w:p>
    <w:p w:rsidR="00934D9F" w:rsidRPr="007917A1" w:rsidRDefault="00C95E98" w:rsidP="004B41CB">
      <w:pPr>
        <w:spacing w:before="120" w:after="0" w:line="360" w:lineRule="auto"/>
        <w:jc w:val="both"/>
        <w:rPr>
          <w:rFonts w:ascii="Times New Roman" w:hAnsi="Times New Roman" w:cs="Times New Roman"/>
          <w:sz w:val="24"/>
          <w:szCs w:val="24"/>
        </w:rPr>
      </w:pPr>
      <w:r w:rsidRPr="007917A1">
        <w:rPr>
          <w:rFonts w:ascii="Times New Roman" w:hAnsi="Times New Roman" w:cs="Times New Roman"/>
          <w:sz w:val="24"/>
          <w:szCs w:val="24"/>
        </w:rPr>
        <w:t>Тем не менее, на наш взгляд присутствует</w:t>
      </w:r>
      <w:r w:rsidR="006F4285" w:rsidRPr="007917A1">
        <w:rPr>
          <w:rFonts w:ascii="Times New Roman" w:hAnsi="Times New Roman" w:cs="Times New Roman"/>
          <w:sz w:val="24"/>
          <w:szCs w:val="24"/>
        </w:rPr>
        <w:t xml:space="preserve"> определенный </w:t>
      </w:r>
      <w:r w:rsidR="00BC539D" w:rsidRPr="007917A1">
        <w:rPr>
          <w:rFonts w:ascii="Times New Roman" w:hAnsi="Times New Roman" w:cs="Times New Roman"/>
          <w:sz w:val="24"/>
          <w:szCs w:val="24"/>
        </w:rPr>
        <w:t>дефицит исследований, обосновывающих очевидный системный характер связи между</w:t>
      </w:r>
      <w:r w:rsidR="006F4285" w:rsidRPr="007917A1">
        <w:rPr>
          <w:rFonts w:ascii="Times New Roman" w:hAnsi="Times New Roman" w:cs="Times New Roman"/>
          <w:sz w:val="24"/>
          <w:szCs w:val="24"/>
        </w:rPr>
        <w:t xml:space="preserve"> </w:t>
      </w:r>
      <w:r w:rsidR="00BC539D" w:rsidRPr="007917A1">
        <w:rPr>
          <w:rFonts w:ascii="Times New Roman" w:hAnsi="Times New Roman" w:cs="Times New Roman"/>
          <w:sz w:val="24"/>
          <w:szCs w:val="24"/>
        </w:rPr>
        <w:t>динамикой и развитостью рынка недвижимости и присущих ему характеристик с устойчивостью финансового, в частности, банковского сектора</w:t>
      </w:r>
      <w:r w:rsidR="007668CE" w:rsidRPr="007917A1">
        <w:rPr>
          <w:rFonts w:ascii="Times New Roman" w:hAnsi="Times New Roman" w:cs="Times New Roman"/>
          <w:sz w:val="24"/>
          <w:szCs w:val="24"/>
        </w:rPr>
        <w:t>.</w:t>
      </w:r>
      <w:r w:rsidR="00A209A9" w:rsidRPr="007917A1">
        <w:rPr>
          <w:rFonts w:ascii="Times New Roman" w:hAnsi="Times New Roman" w:cs="Times New Roman"/>
          <w:sz w:val="24"/>
          <w:szCs w:val="24"/>
        </w:rPr>
        <w:t xml:space="preserve"> </w:t>
      </w:r>
      <w:r w:rsidR="007668CE" w:rsidRPr="007917A1">
        <w:rPr>
          <w:rFonts w:ascii="Times New Roman" w:hAnsi="Times New Roman" w:cs="Times New Roman"/>
          <w:sz w:val="24"/>
          <w:szCs w:val="24"/>
        </w:rPr>
        <w:t>Кроме того, исследователями констатируется</w:t>
      </w:r>
      <w:r w:rsidR="00A209A9" w:rsidRPr="007917A1">
        <w:rPr>
          <w:rFonts w:ascii="Times New Roman" w:hAnsi="Times New Roman" w:cs="Times New Roman"/>
          <w:sz w:val="24"/>
          <w:szCs w:val="24"/>
        </w:rPr>
        <w:t xml:space="preserve"> </w:t>
      </w:r>
      <w:r w:rsidR="007C3FCF" w:rsidRPr="007917A1">
        <w:rPr>
          <w:rFonts w:ascii="Times New Roman" w:hAnsi="Times New Roman" w:cs="Times New Roman"/>
          <w:sz w:val="24"/>
          <w:szCs w:val="24"/>
        </w:rPr>
        <w:t>необходимост</w:t>
      </w:r>
      <w:r w:rsidR="007668CE" w:rsidRPr="007917A1">
        <w:rPr>
          <w:rFonts w:ascii="Times New Roman" w:hAnsi="Times New Roman" w:cs="Times New Roman"/>
          <w:sz w:val="24"/>
          <w:szCs w:val="24"/>
        </w:rPr>
        <w:t>ь</w:t>
      </w:r>
      <w:r w:rsidR="007C3FCF" w:rsidRPr="007917A1">
        <w:rPr>
          <w:rFonts w:ascii="Times New Roman" w:hAnsi="Times New Roman" w:cs="Times New Roman"/>
          <w:sz w:val="24"/>
          <w:szCs w:val="24"/>
        </w:rPr>
        <w:t xml:space="preserve"> с</w:t>
      </w:r>
      <w:r w:rsidR="00A209A9" w:rsidRPr="007917A1">
        <w:rPr>
          <w:rFonts w:ascii="Times New Roman" w:hAnsi="Times New Roman" w:cs="Times New Roman"/>
          <w:sz w:val="24"/>
          <w:szCs w:val="24"/>
        </w:rPr>
        <w:t>овершенст</w:t>
      </w:r>
      <w:r w:rsidR="008E4DB6" w:rsidRPr="007917A1">
        <w:rPr>
          <w:rFonts w:ascii="Times New Roman" w:hAnsi="Times New Roman" w:cs="Times New Roman"/>
          <w:sz w:val="24"/>
          <w:szCs w:val="24"/>
        </w:rPr>
        <w:t>в</w:t>
      </w:r>
      <w:r w:rsidR="00A209A9" w:rsidRPr="007917A1">
        <w:rPr>
          <w:rFonts w:ascii="Times New Roman" w:hAnsi="Times New Roman" w:cs="Times New Roman"/>
          <w:sz w:val="24"/>
          <w:szCs w:val="24"/>
        </w:rPr>
        <w:t xml:space="preserve">ования методологических подходов Банка России к </w:t>
      </w:r>
      <w:proofErr w:type="spellStart"/>
      <w:r w:rsidR="00A209A9" w:rsidRPr="007917A1">
        <w:rPr>
          <w:rFonts w:ascii="Times New Roman" w:hAnsi="Times New Roman" w:cs="Times New Roman"/>
          <w:sz w:val="24"/>
          <w:szCs w:val="24"/>
        </w:rPr>
        <w:t>макропруденциоальному</w:t>
      </w:r>
      <w:proofErr w:type="spellEnd"/>
      <w:r w:rsidR="00A209A9" w:rsidRPr="007917A1">
        <w:rPr>
          <w:rFonts w:ascii="Times New Roman" w:hAnsi="Times New Roman" w:cs="Times New Roman"/>
          <w:sz w:val="24"/>
          <w:szCs w:val="24"/>
        </w:rPr>
        <w:t xml:space="preserve"> регулированию посредством внедрения показателей развития рынка недвижимости [</w:t>
      </w:r>
      <w:r w:rsidR="00A209A9" w:rsidRPr="007917A1">
        <w:rPr>
          <w:rFonts w:ascii="Times New Roman" w:hAnsi="Times New Roman" w:cs="Times New Roman"/>
          <w:sz w:val="24"/>
          <w:szCs w:val="24"/>
        </w:rPr>
        <w:fldChar w:fldCharType="begin"/>
      </w:r>
      <w:r w:rsidR="00A209A9" w:rsidRPr="007917A1">
        <w:rPr>
          <w:rFonts w:ascii="Times New Roman" w:hAnsi="Times New Roman" w:cs="Times New Roman"/>
          <w:sz w:val="24"/>
          <w:szCs w:val="24"/>
        </w:rPr>
        <w:instrText xml:space="preserve"> REF _Ref528770995 \r \h </w:instrText>
      </w:r>
      <w:r w:rsidR="007668CE" w:rsidRPr="007917A1">
        <w:rPr>
          <w:rFonts w:ascii="Times New Roman" w:hAnsi="Times New Roman" w:cs="Times New Roman"/>
          <w:sz w:val="24"/>
          <w:szCs w:val="24"/>
        </w:rPr>
        <w:instrText xml:space="preserve"> \* MERGEFORMAT </w:instrText>
      </w:r>
      <w:r w:rsidR="00A209A9" w:rsidRPr="007917A1">
        <w:rPr>
          <w:rFonts w:ascii="Times New Roman" w:hAnsi="Times New Roman" w:cs="Times New Roman"/>
          <w:sz w:val="24"/>
          <w:szCs w:val="24"/>
        </w:rPr>
      </w:r>
      <w:r w:rsidR="00A209A9" w:rsidRPr="007917A1">
        <w:rPr>
          <w:rFonts w:ascii="Times New Roman" w:hAnsi="Times New Roman" w:cs="Times New Roman"/>
          <w:sz w:val="24"/>
          <w:szCs w:val="24"/>
        </w:rPr>
        <w:fldChar w:fldCharType="separate"/>
      </w:r>
      <w:r w:rsidR="002A4CDE" w:rsidRPr="007917A1">
        <w:rPr>
          <w:rFonts w:ascii="Times New Roman" w:hAnsi="Times New Roman" w:cs="Times New Roman"/>
          <w:sz w:val="24"/>
          <w:szCs w:val="24"/>
        </w:rPr>
        <w:t>12</w:t>
      </w:r>
      <w:r w:rsidR="00A209A9" w:rsidRPr="007917A1">
        <w:rPr>
          <w:rFonts w:ascii="Times New Roman" w:hAnsi="Times New Roman" w:cs="Times New Roman"/>
          <w:sz w:val="24"/>
          <w:szCs w:val="24"/>
        </w:rPr>
        <w:fldChar w:fldCharType="end"/>
      </w:r>
      <w:r w:rsidR="00A209A9" w:rsidRPr="007917A1">
        <w:rPr>
          <w:rFonts w:ascii="Times New Roman" w:hAnsi="Times New Roman" w:cs="Times New Roman"/>
          <w:sz w:val="24"/>
          <w:szCs w:val="24"/>
        </w:rPr>
        <w:t>].</w:t>
      </w:r>
      <w:r w:rsidR="007C3FCF" w:rsidRPr="007917A1">
        <w:rPr>
          <w:rFonts w:ascii="Times New Roman" w:hAnsi="Times New Roman" w:cs="Times New Roman"/>
          <w:sz w:val="24"/>
          <w:szCs w:val="24"/>
        </w:rPr>
        <w:t xml:space="preserve"> </w:t>
      </w:r>
      <w:r w:rsidR="00BC539D" w:rsidRPr="007917A1">
        <w:rPr>
          <w:rFonts w:ascii="Times New Roman" w:hAnsi="Times New Roman" w:cs="Times New Roman"/>
          <w:sz w:val="24"/>
          <w:szCs w:val="24"/>
        </w:rPr>
        <w:t>К этому</w:t>
      </w:r>
      <w:r w:rsidR="00402124" w:rsidRPr="007917A1">
        <w:rPr>
          <w:rFonts w:ascii="Times New Roman" w:hAnsi="Times New Roman" w:cs="Times New Roman"/>
          <w:sz w:val="24"/>
          <w:szCs w:val="24"/>
        </w:rPr>
        <w:t xml:space="preserve"> </w:t>
      </w:r>
      <w:r w:rsidR="00BC539D" w:rsidRPr="007917A1">
        <w:rPr>
          <w:rFonts w:ascii="Times New Roman" w:hAnsi="Times New Roman" w:cs="Times New Roman"/>
          <w:sz w:val="24"/>
          <w:szCs w:val="24"/>
        </w:rPr>
        <w:t xml:space="preserve">добавляются такие особенности российской экономики, которые в отдельных аспектах могут </w:t>
      </w:r>
      <w:r w:rsidR="00A14EEA" w:rsidRPr="007917A1">
        <w:rPr>
          <w:rFonts w:ascii="Times New Roman" w:hAnsi="Times New Roman" w:cs="Times New Roman"/>
          <w:sz w:val="24"/>
          <w:szCs w:val="24"/>
        </w:rPr>
        <w:t xml:space="preserve">быть </w:t>
      </w:r>
      <w:r w:rsidR="00BC539D" w:rsidRPr="007917A1">
        <w:rPr>
          <w:rFonts w:ascii="Times New Roman" w:hAnsi="Times New Roman" w:cs="Times New Roman"/>
          <w:sz w:val="24"/>
          <w:szCs w:val="24"/>
        </w:rPr>
        <w:t>нехарактерны для более развитых экономик</w:t>
      </w:r>
      <w:r w:rsidR="00DA3FFE" w:rsidRPr="007917A1">
        <w:rPr>
          <w:rFonts w:ascii="Times New Roman" w:hAnsi="Times New Roman" w:cs="Times New Roman"/>
          <w:sz w:val="24"/>
          <w:szCs w:val="24"/>
        </w:rPr>
        <w:t>:</w:t>
      </w:r>
    </w:p>
    <w:p w:rsidR="00DA3FFE" w:rsidRPr="007917A1" w:rsidRDefault="00161772" w:rsidP="004B41CB">
      <w:pPr>
        <w:pStyle w:val="a5"/>
        <w:numPr>
          <w:ilvl w:val="0"/>
          <w:numId w:val="21"/>
        </w:numPr>
        <w:spacing w:before="120" w:after="160" w:line="360" w:lineRule="auto"/>
        <w:ind w:left="567" w:hanging="567"/>
        <w:jc w:val="both"/>
        <w:rPr>
          <w:rFonts w:ascii="Times New Roman" w:hAnsi="Times New Roman" w:cs="Times New Roman"/>
          <w:sz w:val="24"/>
          <w:szCs w:val="24"/>
        </w:rPr>
      </w:pPr>
      <w:bookmarkStart w:id="3" w:name="_Hlk515920299"/>
      <w:r w:rsidRPr="007917A1">
        <w:rPr>
          <w:rFonts w:ascii="Times New Roman" w:hAnsi="Times New Roman" w:cs="Times New Roman"/>
          <w:sz w:val="24"/>
          <w:szCs w:val="24"/>
        </w:rPr>
        <w:t>К</w:t>
      </w:r>
      <w:r w:rsidR="00DA3FFE" w:rsidRPr="007917A1">
        <w:rPr>
          <w:rFonts w:ascii="Times New Roman" w:hAnsi="Times New Roman" w:cs="Times New Roman"/>
          <w:sz w:val="24"/>
          <w:szCs w:val="24"/>
        </w:rPr>
        <w:t>онсолидация российского банковского сектора</w:t>
      </w:r>
      <w:r w:rsidR="006D2896" w:rsidRPr="007917A1">
        <w:rPr>
          <w:rFonts w:ascii="Times New Roman" w:hAnsi="Times New Roman" w:cs="Times New Roman"/>
          <w:sz w:val="24"/>
          <w:szCs w:val="24"/>
        </w:rPr>
        <w:t xml:space="preserve"> </w:t>
      </w:r>
      <w:r w:rsidR="0021329E" w:rsidRPr="007917A1">
        <w:rPr>
          <w:rFonts w:ascii="Times New Roman" w:hAnsi="Times New Roman" w:cs="Times New Roman"/>
          <w:sz w:val="24"/>
          <w:szCs w:val="24"/>
        </w:rPr>
        <w:t>в том числе за счёт ужесточения обязательных нормативов [</w:t>
      </w:r>
      <w:r w:rsidR="0021329E" w:rsidRPr="007917A1">
        <w:rPr>
          <w:rFonts w:ascii="Times New Roman" w:hAnsi="Times New Roman" w:cs="Times New Roman"/>
          <w:sz w:val="24"/>
          <w:szCs w:val="24"/>
        </w:rPr>
        <w:fldChar w:fldCharType="begin"/>
      </w:r>
      <w:r w:rsidR="0021329E" w:rsidRPr="007917A1">
        <w:rPr>
          <w:rFonts w:ascii="Times New Roman" w:hAnsi="Times New Roman" w:cs="Times New Roman"/>
          <w:sz w:val="24"/>
          <w:szCs w:val="24"/>
        </w:rPr>
        <w:instrText xml:space="preserve"> REF _Ref529198337 \r \h </w:instrText>
      </w:r>
      <w:r w:rsidR="0021329E" w:rsidRPr="007917A1">
        <w:rPr>
          <w:rFonts w:ascii="Times New Roman" w:hAnsi="Times New Roman" w:cs="Times New Roman"/>
          <w:sz w:val="24"/>
          <w:szCs w:val="24"/>
        </w:rPr>
      </w:r>
      <w:r w:rsidR="007917A1">
        <w:rPr>
          <w:rFonts w:ascii="Times New Roman" w:hAnsi="Times New Roman" w:cs="Times New Roman"/>
          <w:sz w:val="24"/>
          <w:szCs w:val="24"/>
        </w:rPr>
        <w:instrText xml:space="preserve"> \* MERGEFORMAT </w:instrText>
      </w:r>
      <w:r w:rsidR="0021329E" w:rsidRPr="007917A1">
        <w:rPr>
          <w:rFonts w:ascii="Times New Roman" w:hAnsi="Times New Roman" w:cs="Times New Roman"/>
          <w:sz w:val="24"/>
          <w:szCs w:val="24"/>
        </w:rPr>
        <w:fldChar w:fldCharType="separate"/>
      </w:r>
      <w:r w:rsidR="002A4CDE" w:rsidRPr="007917A1">
        <w:rPr>
          <w:rFonts w:ascii="Times New Roman" w:hAnsi="Times New Roman" w:cs="Times New Roman"/>
          <w:sz w:val="24"/>
          <w:szCs w:val="24"/>
        </w:rPr>
        <w:t>13</w:t>
      </w:r>
      <w:r w:rsidR="0021329E" w:rsidRPr="007917A1">
        <w:rPr>
          <w:rFonts w:ascii="Times New Roman" w:hAnsi="Times New Roman" w:cs="Times New Roman"/>
          <w:sz w:val="24"/>
          <w:szCs w:val="24"/>
        </w:rPr>
        <w:fldChar w:fldCharType="end"/>
      </w:r>
      <w:r w:rsidR="0021329E" w:rsidRPr="007917A1">
        <w:rPr>
          <w:rFonts w:ascii="Times New Roman" w:hAnsi="Times New Roman" w:cs="Times New Roman"/>
          <w:sz w:val="24"/>
          <w:szCs w:val="24"/>
        </w:rPr>
        <w:t>]</w:t>
      </w:r>
      <w:r w:rsidR="000D58A4" w:rsidRPr="007917A1">
        <w:rPr>
          <w:rFonts w:ascii="Times New Roman" w:hAnsi="Times New Roman" w:cs="Times New Roman"/>
          <w:sz w:val="24"/>
          <w:szCs w:val="24"/>
        </w:rPr>
        <w:t xml:space="preserve"> и иных институциональных различий [</w:t>
      </w:r>
      <w:r w:rsidR="000D58A4" w:rsidRPr="007917A1">
        <w:rPr>
          <w:rFonts w:ascii="Times New Roman" w:hAnsi="Times New Roman" w:cs="Times New Roman"/>
          <w:sz w:val="24"/>
          <w:szCs w:val="24"/>
        </w:rPr>
        <w:fldChar w:fldCharType="begin"/>
      </w:r>
      <w:r w:rsidR="000D58A4" w:rsidRPr="007917A1">
        <w:rPr>
          <w:rFonts w:ascii="Times New Roman" w:hAnsi="Times New Roman" w:cs="Times New Roman"/>
          <w:sz w:val="24"/>
          <w:szCs w:val="24"/>
        </w:rPr>
        <w:instrText xml:space="preserve"> REF _Ref529202300 \r \h </w:instrText>
      </w:r>
      <w:r w:rsidR="000D58A4" w:rsidRPr="007917A1">
        <w:rPr>
          <w:rFonts w:ascii="Times New Roman" w:hAnsi="Times New Roman" w:cs="Times New Roman"/>
          <w:sz w:val="24"/>
          <w:szCs w:val="24"/>
        </w:rPr>
      </w:r>
      <w:r w:rsidR="007917A1">
        <w:rPr>
          <w:rFonts w:ascii="Times New Roman" w:hAnsi="Times New Roman" w:cs="Times New Roman"/>
          <w:sz w:val="24"/>
          <w:szCs w:val="24"/>
        </w:rPr>
        <w:instrText xml:space="preserve"> \* MERGEFORMAT </w:instrText>
      </w:r>
      <w:r w:rsidR="000D58A4" w:rsidRPr="007917A1">
        <w:rPr>
          <w:rFonts w:ascii="Times New Roman" w:hAnsi="Times New Roman" w:cs="Times New Roman"/>
          <w:sz w:val="24"/>
          <w:szCs w:val="24"/>
        </w:rPr>
        <w:fldChar w:fldCharType="separate"/>
      </w:r>
      <w:r w:rsidR="002A4CDE" w:rsidRPr="007917A1">
        <w:rPr>
          <w:rFonts w:ascii="Times New Roman" w:hAnsi="Times New Roman" w:cs="Times New Roman"/>
          <w:sz w:val="24"/>
          <w:szCs w:val="24"/>
        </w:rPr>
        <w:t>14</w:t>
      </w:r>
      <w:r w:rsidR="000D58A4" w:rsidRPr="007917A1">
        <w:rPr>
          <w:rFonts w:ascii="Times New Roman" w:hAnsi="Times New Roman" w:cs="Times New Roman"/>
          <w:sz w:val="24"/>
          <w:szCs w:val="24"/>
        </w:rPr>
        <w:fldChar w:fldCharType="end"/>
      </w:r>
      <w:r w:rsidR="000D58A4" w:rsidRPr="007917A1">
        <w:rPr>
          <w:rFonts w:ascii="Times New Roman" w:hAnsi="Times New Roman" w:cs="Times New Roman"/>
          <w:sz w:val="24"/>
          <w:szCs w:val="24"/>
        </w:rPr>
        <w:t>] и</w:t>
      </w:r>
      <w:r w:rsidR="00DA3FFE" w:rsidRPr="007917A1">
        <w:rPr>
          <w:rFonts w:ascii="Times New Roman" w:hAnsi="Times New Roman" w:cs="Times New Roman"/>
          <w:sz w:val="24"/>
          <w:szCs w:val="24"/>
        </w:rPr>
        <w:t xml:space="preserve">, как </w:t>
      </w:r>
      <w:r w:rsidR="0021329E" w:rsidRPr="007917A1">
        <w:rPr>
          <w:rFonts w:ascii="Times New Roman" w:hAnsi="Times New Roman" w:cs="Times New Roman"/>
          <w:sz w:val="24"/>
          <w:szCs w:val="24"/>
        </w:rPr>
        <w:t>следствие</w:t>
      </w:r>
      <w:r w:rsidR="00DA3FFE" w:rsidRPr="007917A1">
        <w:rPr>
          <w:rFonts w:ascii="Times New Roman" w:hAnsi="Times New Roman" w:cs="Times New Roman"/>
          <w:sz w:val="24"/>
          <w:szCs w:val="24"/>
        </w:rPr>
        <w:t>, концентрация рисков, связанных с изменением стоимости недвижимости</w:t>
      </w:r>
      <w:bookmarkEnd w:id="3"/>
      <w:r w:rsidR="00DA3FFE" w:rsidRPr="007917A1">
        <w:rPr>
          <w:rFonts w:ascii="Times New Roman" w:hAnsi="Times New Roman" w:cs="Times New Roman"/>
          <w:sz w:val="24"/>
          <w:szCs w:val="24"/>
        </w:rPr>
        <w:t>;</w:t>
      </w:r>
    </w:p>
    <w:p w:rsidR="00426CC1" w:rsidRPr="007917A1" w:rsidRDefault="00F26726" w:rsidP="004B41CB">
      <w:pPr>
        <w:pStyle w:val="a5"/>
        <w:numPr>
          <w:ilvl w:val="0"/>
          <w:numId w:val="21"/>
        </w:numPr>
        <w:spacing w:before="120" w:after="160" w:line="360" w:lineRule="auto"/>
        <w:ind w:left="567" w:hanging="567"/>
        <w:jc w:val="both"/>
        <w:rPr>
          <w:rFonts w:ascii="Times New Roman" w:hAnsi="Times New Roman" w:cs="Times New Roman"/>
          <w:sz w:val="24"/>
          <w:szCs w:val="24"/>
        </w:rPr>
      </w:pPr>
      <w:r w:rsidRPr="007917A1">
        <w:rPr>
          <w:rFonts w:ascii="Times New Roman" w:hAnsi="Times New Roman" w:cs="Times New Roman"/>
          <w:sz w:val="24"/>
          <w:szCs w:val="24"/>
        </w:rPr>
        <w:t>Н</w:t>
      </w:r>
      <w:r w:rsidR="00DA3FFE" w:rsidRPr="007917A1">
        <w:rPr>
          <w:rFonts w:ascii="Times New Roman" w:hAnsi="Times New Roman" w:cs="Times New Roman"/>
          <w:sz w:val="24"/>
          <w:szCs w:val="24"/>
        </w:rPr>
        <w:t xml:space="preserve">еравномерная развитость локальных рынков недвижимости </w:t>
      </w:r>
      <w:r w:rsidR="00426CC1" w:rsidRPr="007917A1">
        <w:rPr>
          <w:rFonts w:ascii="Times New Roman" w:hAnsi="Times New Roman" w:cs="Times New Roman"/>
          <w:sz w:val="24"/>
          <w:szCs w:val="24"/>
        </w:rPr>
        <w:t xml:space="preserve">Российской Федерации и, как следствие, </w:t>
      </w:r>
      <w:r w:rsidR="00DA3FFE" w:rsidRPr="007917A1">
        <w:rPr>
          <w:rFonts w:ascii="Times New Roman" w:hAnsi="Times New Roman" w:cs="Times New Roman"/>
          <w:sz w:val="24"/>
          <w:szCs w:val="24"/>
        </w:rPr>
        <w:t xml:space="preserve"> концентрация технологий </w:t>
      </w:r>
      <w:r w:rsidR="00426CC1" w:rsidRPr="007917A1">
        <w:rPr>
          <w:rFonts w:ascii="Times New Roman" w:hAnsi="Times New Roman" w:cs="Times New Roman"/>
          <w:sz w:val="24"/>
          <w:szCs w:val="24"/>
        </w:rPr>
        <w:t>и компетенций по анализу, оценке и управлению недвижимостью на наиболее развитых из них, затрудняющая выработку относительно универсальных системных инструментов регулирования в данной области, а также существенная доля недвижимости на «узких», наименее информационно-симметричных локальных рынках недвижимости</w:t>
      </w:r>
      <w:r w:rsidR="00B96823" w:rsidRPr="007917A1">
        <w:rPr>
          <w:rFonts w:ascii="Times New Roman" w:hAnsi="Times New Roman" w:cs="Times New Roman"/>
          <w:sz w:val="24"/>
          <w:szCs w:val="24"/>
        </w:rPr>
        <w:t xml:space="preserve"> [</w:t>
      </w:r>
      <w:r w:rsidR="00843D1A" w:rsidRPr="007917A1">
        <w:rPr>
          <w:rFonts w:ascii="Times New Roman" w:hAnsi="Times New Roman" w:cs="Times New Roman"/>
          <w:sz w:val="24"/>
          <w:szCs w:val="24"/>
        </w:rPr>
        <w:fldChar w:fldCharType="begin"/>
      </w:r>
      <w:r w:rsidR="00843D1A" w:rsidRPr="007917A1">
        <w:rPr>
          <w:rFonts w:ascii="Times New Roman" w:hAnsi="Times New Roman" w:cs="Times New Roman"/>
          <w:sz w:val="24"/>
          <w:szCs w:val="24"/>
        </w:rPr>
        <w:instrText xml:space="preserve"> REF _Ref529180517 \r \h </w:instrText>
      </w:r>
      <w:r w:rsidR="00843D1A" w:rsidRPr="007917A1">
        <w:rPr>
          <w:rFonts w:ascii="Times New Roman" w:hAnsi="Times New Roman" w:cs="Times New Roman"/>
          <w:sz w:val="24"/>
          <w:szCs w:val="24"/>
        </w:rPr>
      </w:r>
      <w:r w:rsidR="007917A1">
        <w:rPr>
          <w:rFonts w:ascii="Times New Roman" w:hAnsi="Times New Roman" w:cs="Times New Roman"/>
          <w:sz w:val="24"/>
          <w:szCs w:val="24"/>
        </w:rPr>
        <w:instrText xml:space="preserve"> \* MERGEFORMAT </w:instrText>
      </w:r>
      <w:r w:rsidR="00843D1A" w:rsidRPr="007917A1">
        <w:rPr>
          <w:rFonts w:ascii="Times New Roman" w:hAnsi="Times New Roman" w:cs="Times New Roman"/>
          <w:sz w:val="24"/>
          <w:szCs w:val="24"/>
        </w:rPr>
        <w:fldChar w:fldCharType="separate"/>
      </w:r>
      <w:r w:rsidR="002A4CDE" w:rsidRPr="007917A1">
        <w:rPr>
          <w:rFonts w:ascii="Times New Roman" w:hAnsi="Times New Roman" w:cs="Times New Roman"/>
          <w:sz w:val="24"/>
          <w:szCs w:val="24"/>
        </w:rPr>
        <w:t>15</w:t>
      </w:r>
      <w:r w:rsidR="00843D1A" w:rsidRPr="007917A1">
        <w:rPr>
          <w:rFonts w:ascii="Times New Roman" w:hAnsi="Times New Roman" w:cs="Times New Roman"/>
          <w:sz w:val="24"/>
          <w:szCs w:val="24"/>
        </w:rPr>
        <w:fldChar w:fldCharType="end"/>
      </w:r>
      <w:r w:rsidR="00B96823" w:rsidRPr="007917A1">
        <w:rPr>
          <w:rFonts w:ascii="Times New Roman" w:hAnsi="Times New Roman" w:cs="Times New Roman"/>
          <w:sz w:val="24"/>
          <w:szCs w:val="24"/>
        </w:rPr>
        <w:t>]</w:t>
      </w:r>
      <w:r w:rsidR="00426CC1" w:rsidRPr="007917A1">
        <w:rPr>
          <w:rFonts w:ascii="Times New Roman" w:hAnsi="Times New Roman" w:cs="Times New Roman"/>
          <w:sz w:val="24"/>
          <w:szCs w:val="24"/>
        </w:rPr>
        <w:t>;</w:t>
      </w:r>
    </w:p>
    <w:p w:rsidR="00DA3FFE" w:rsidRPr="007917A1" w:rsidRDefault="00426CC1" w:rsidP="004B41CB">
      <w:pPr>
        <w:pStyle w:val="a5"/>
        <w:numPr>
          <w:ilvl w:val="0"/>
          <w:numId w:val="21"/>
        </w:numPr>
        <w:spacing w:before="120" w:after="160" w:line="360" w:lineRule="auto"/>
        <w:ind w:left="567" w:hanging="567"/>
        <w:jc w:val="both"/>
        <w:rPr>
          <w:rFonts w:ascii="Times New Roman" w:hAnsi="Times New Roman" w:cs="Times New Roman"/>
          <w:sz w:val="24"/>
          <w:szCs w:val="24"/>
        </w:rPr>
      </w:pPr>
      <w:bookmarkStart w:id="4" w:name="_Hlk515920458"/>
      <w:r w:rsidRPr="007917A1">
        <w:rPr>
          <w:rFonts w:ascii="Times New Roman" w:hAnsi="Times New Roman" w:cs="Times New Roman"/>
          <w:sz w:val="24"/>
          <w:szCs w:val="24"/>
        </w:rPr>
        <w:t xml:space="preserve">Более высокий аппетит к риску, связанному </w:t>
      </w:r>
      <w:r w:rsidR="000C6AE6" w:rsidRPr="007917A1">
        <w:rPr>
          <w:rFonts w:ascii="Times New Roman" w:hAnsi="Times New Roman" w:cs="Times New Roman"/>
          <w:sz w:val="24"/>
          <w:szCs w:val="24"/>
        </w:rPr>
        <w:t xml:space="preserve">с </w:t>
      </w:r>
      <w:r w:rsidRPr="007917A1">
        <w:rPr>
          <w:rFonts w:ascii="Times New Roman" w:hAnsi="Times New Roman" w:cs="Times New Roman"/>
          <w:sz w:val="24"/>
          <w:szCs w:val="24"/>
        </w:rPr>
        <w:t>недвижимостью, среди российских банковских игроков по сравнению с международными финансовыми группами</w:t>
      </w:r>
      <w:bookmarkEnd w:id="4"/>
      <w:r w:rsidR="00C439BF" w:rsidRPr="007917A1">
        <w:rPr>
          <w:rFonts w:ascii="Times New Roman" w:hAnsi="Times New Roman" w:cs="Times New Roman"/>
          <w:sz w:val="24"/>
          <w:szCs w:val="24"/>
        </w:rPr>
        <w:t xml:space="preserve"> [</w:t>
      </w:r>
      <w:r w:rsidR="00C439BF" w:rsidRPr="007917A1">
        <w:rPr>
          <w:rFonts w:ascii="Times New Roman" w:hAnsi="Times New Roman" w:cs="Times New Roman"/>
          <w:sz w:val="24"/>
          <w:szCs w:val="24"/>
        </w:rPr>
        <w:fldChar w:fldCharType="begin"/>
      </w:r>
      <w:r w:rsidR="00C439BF" w:rsidRPr="007917A1">
        <w:rPr>
          <w:rFonts w:ascii="Times New Roman" w:hAnsi="Times New Roman" w:cs="Times New Roman"/>
          <w:sz w:val="24"/>
          <w:szCs w:val="24"/>
        </w:rPr>
        <w:instrText xml:space="preserve"> REF _Ref528568196 \r \h </w:instrText>
      </w:r>
      <w:r w:rsidR="00C439BF" w:rsidRPr="007917A1">
        <w:rPr>
          <w:rFonts w:ascii="Times New Roman" w:hAnsi="Times New Roman" w:cs="Times New Roman"/>
          <w:sz w:val="24"/>
          <w:szCs w:val="24"/>
        </w:rPr>
      </w:r>
      <w:r w:rsidR="007917A1">
        <w:rPr>
          <w:rFonts w:ascii="Times New Roman" w:hAnsi="Times New Roman" w:cs="Times New Roman"/>
          <w:sz w:val="24"/>
          <w:szCs w:val="24"/>
        </w:rPr>
        <w:instrText xml:space="preserve"> \* MERGEFORMAT </w:instrText>
      </w:r>
      <w:r w:rsidR="00C439BF" w:rsidRPr="007917A1">
        <w:rPr>
          <w:rFonts w:ascii="Times New Roman" w:hAnsi="Times New Roman" w:cs="Times New Roman"/>
          <w:sz w:val="24"/>
          <w:szCs w:val="24"/>
        </w:rPr>
        <w:fldChar w:fldCharType="separate"/>
      </w:r>
      <w:r w:rsidR="002A4CDE" w:rsidRPr="007917A1">
        <w:rPr>
          <w:rFonts w:ascii="Times New Roman" w:hAnsi="Times New Roman" w:cs="Times New Roman"/>
          <w:sz w:val="24"/>
          <w:szCs w:val="24"/>
        </w:rPr>
        <w:t>16</w:t>
      </w:r>
      <w:r w:rsidR="00C439BF" w:rsidRPr="007917A1">
        <w:rPr>
          <w:rFonts w:ascii="Times New Roman" w:hAnsi="Times New Roman" w:cs="Times New Roman"/>
          <w:sz w:val="24"/>
          <w:szCs w:val="24"/>
        </w:rPr>
        <w:fldChar w:fldCharType="end"/>
      </w:r>
      <w:r w:rsidR="00C439BF" w:rsidRPr="007917A1">
        <w:rPr>
          <w:rFonts w:ascii="Times New Roman" w:hAnsi="Times New Roman" w:cs="Times New Roman"/>
          <w:sz w:val="24"/>
          <w:szCs w:val="24"/>
        </w:rPr>
        <w:t>]</w:t>
      </w:r>
      <w:r w:rsidR="00BC48A4" w:rsidRPr="007917A1">
        <w:rPr>
          <w:rFonts w:ascii="Times New Roman" w:hAnsi="Times New Roman" w:cs="Times New Roman"/>
          <w:sz w:val="24"/>
          <w:szCs w:val="24"/>
        </w:rPr>
        <w:t>;</w:t>
      </w:r>
      <w:r w:rsidRPr="007917A1">
        <w:rPr>
          <w:rFonts w:ascii="Times New Roman" w:hAnsi="Times New Roman" w:cs="Times New Roman"/>
          <w:sz w:val="24"/>
          <w:szCs w:val="24"/>
        </w:rPr>
        <w:t xml:space="preserve"> </w:t>
      </w:r>
    </w:p>
    <w:p w:rsidR="00426CC1" w:rsidRPr="007917A1" w:rsidRDefault="00522624" w:rsidP="004B41CB">
      <w:pPr>
        <w:pStyle w:val="a5"/>
        <w:numPr>
          <w:ilvl w:val="0"/>
          <w:numId w:val="21"/>
        </w:numPr>
        <w:spacing w:before="120" w:after="160" w:line="360" w:lineRule="auto"/>
        <w:ind w:left="567" w:hanging="567"/>
        <w:jc w:val="both"/>
        <w:rPr>
          <w:rFonts w:ascii="Times New Roman" w:hAnsi="Times New Roman" w:cs="Times New Roman"/>
          <w:sz w:val="24"/>
          <w:szCs w:val="24"/>
        </w:rPr>
      </w:pPr>
      <w:r w:rsidRPr="007917A1">
        <w:rPr>
          <w:rFonts w:ascii="Times New Roman" w:hAnsi="Times New Roman" w:cs="Times New Roman"/>
          <w:sz w:val="24"/>
          <w:szCs w:val="24"/>
        </w:rPr>
        <w:t xml:space="preserve">Изменяющиеся геополитические условия, санкционный режим в отношении Российской Федерации и, как следствие с одной стороны – уход международных игроков традиционно формирующих спрос на </w:t>
      </w:r>
      <w:r w:rsidR="001A6EEA" w:rsidRPr="007917A1">
        <w:rPr>
          <w:rFonts w:ascii="Times New Roman" w:hAnsi="Times New Roman" w:cs="Times New Roman"/>
          <w:sz w:val="24"/>
          <w:szCs w:val="24"/>
        </w:rPr>
        <w:t xml:space="preserve">передовые технологии оценки, анализа и управления недвижимостью, с другой стороны – </w:t>
      </w:r>
      <w:r w:rsidR="000C6AE6" w:rsidRPr="007917A1">
        <w:rPr>
          <w:rFonts w:ascii="Times New Roman" w:hAnsi="Times New Roman" w:cs="Times New Roman"/>
          <w:sz w:val="24"/>
          <w:szCs w:val="24"/>
        </w:rPr>
        <w:t xml:space="preserve">потенциальное </w:t>
      </w:r>
      <w:r w:rsidR="001A6EEA" w:rsidRPr="007917A1">
        <w:rPr>
          <w:rFonts w:ascii="Times New Roman" w:hAnsi="Times New Roman" w:cs="Times New Roman"/>
          <w:sz w:val="24"/>
          <w:szCs w:val="24"/>
        </w:rPr>
        <w:t xml:space="preserve">снижение аналогичного спроса со стороны российских игроков в условиях, когда выход на международные рынки капитала де-факто закрыт и наличие указанных технологий в портфеле нематериальных активов не создает осязаемого эффекта для </w:t>
      </w:r>
      <w:r w:rsidR="00DF3246" w:rsidRPr="007917A1">
        <w:rPr>
          <w:rFonts w:ascii="Times New Roman" w:hAnsi="Times New Roman" w:cs="Times New Roman"/>
          <w:sz w:val="24"/>
          <w:szCs w:val="24"/>
        </w:rPr>
        <w:t xml:space="preserve">их </w:t>
      </w:r>
      <w:r w:rsidR="001A6EEA" w:rsidRPr="007917A1">
        <w:rPr>
          <w:rFonts w:ascii="Times New Roman" w:hAnsi="Times New Roman" w:cs="Times New Roman"/>
          <w:sz w:val="24"/>
          <w:szCs w:val="24"/>
        </w:rPr>
        <w:t>капитализации</w:t>
      </w:r>
      <w:r w:rsidR="0051155E" w:rsidRPr="007917A1">
        <w:rPr>
          <w:rFonts w:ascii="Times New Roman" w:hAnsi="Times New Roman" w:cs="Times New Roman"/>
          <w:sz w:val="24"/>
          <w:szCs w:val="24"/>
        </w:rPr>
        <w:t>, а также другие эффекты санкций на рынок недвижимости (см. в частности [</w:t>
      </w:r>
      <w:r w:rsidR="00044E7E" w:rsidRPr="007917A1">
        <w:rPr>
          <w:rFonts w:ascii="Times New Roman" w:hAnsi="Times New Roman" w:cs="Times New Roman"/>
          <w:sz w:val="24"/>
          <w:szCs w:val="24"/>
        </w:rPr>
        <w:fldChar w:fldCharType="begin"/>
      </w:r>
      <w:r w:rsidR="00044E7E" w:rsidRPr="007917A1">
        <w:rPr>
          <w:rFonts w:ascii="Times New Roman" w:hAnsi="Times New Roman" w:cs="Times New Roman"/>
          <w:sz w:val="24"/>
          <w:szCs w:val="24"/>
        </w:rPr>
        <w:instrText xml:space="preserve"> REF _Ref529187135 \r \h </w:instrText>
      </w:r>
      <w:r w:rsidR="00044E7E" w:rsidRPr="007917A1">
        <w:rPr>
          <w:rFonts w:ascii="Times New Roman" w:hAnsi="Times New Roman" w:cs="Times New Roman"/>
          <w:sz w:val="24"/>
          <w:szCs w:val="24"/>
        </w:rPr>
      </w:r>
      <w:r w:rsidR="007917A1">
        <w:rPr>
          <w:rFonts w:ascii="Times New Roman" w:hAnsi="Times New Roman" w:cs="Times New Roman"/>
          <w:sz w:val="24"/>
          <w:szCs w:val="24"/>
        </w:rPr>
        <w:instrText xml:space="preserve"> \* MERGEFORMAT </w:instrText>
      </w:r>
      <w:r w:rsidR="00044E7E" w:rsidRPr="007917A1">
        <w:rPr>
          <w:rFonts w:ascii="Times New Roman" w:hAnsi="Times New Roman" w:cs="Times New Roman"/>
          <w:sz w:val="24"/>
          <w:szCs w:val="24"/>
        </w:rPr>
        <w:fldChar w:fldCharType="separate"/>
      </w:r>
      <w:r w:rsidR="002A4CDE" w:rsidRPr="007917A1">
        <w:rPr>
          <w:rFonts w:ascii="Times New Roman" w:hAnsi="Times New Roman" w:cs="Times New Roman"/>
          <w:sz w:val="24"/>
          <w:szCs w:val="24"/>
        </w:rPr>
        <w:t>17</w:t>
      </w:r>
      <w:r w:rsidR="00044E7E" w:rsidRPr="007917A1">
        <w:rPr>
          <w:rFonts w:ascii="Times New Roman" w:hAnsi="Times New Roman" w:cs="Times New Roman"/>
          <w:sz w:val="24"/>
          <w:szCs w:val="24"/>
        </w:rPr>
        <w:fldChar w:fldCharType="end"/>
      </w:r>
      <w:r w:rsidR="0051155E" w:rsidRPr="007917A1">
        <w:rPr>
          <w:rFonts w:ascii="Times New Roman" w:hAnsi="Times New Roman" w:cs="Times New Roman"/>
          <w:sz w:val="24"/>
          <w:szCs w:val="24"/>
        </w:rPr>
        <w:t>]</w:t>
      </w:r>
      <w:r w:rsidR="00430EA8" w:rsidRPr="007917A1">
        <w:rPr>
          <w:rFonts w:ascii="Times New Roman" w:hAnsi="Times New Roman" w:cs="Times New Roman"/>
          <w:sz w:val="24"/>
          <w:szCs w:val="24"/>
        </w:rPr>
        <w:t>, [</w:t>
      </w:r>
      <w:r w:rsidR="00430EA8" w:rsidRPr="007917A1">
        <w:rPr>
          <w:rFonts w:ascii="Times New Roman" w:hAnsi="Times New Roman" w:cs="Times New Roman"/>
          <w:sz w:val="24"/>
          <w:szCs w:val="24"/>
          <w:lang w:val="en-US"/>
        </w:rPr>
        <w:fldChar w:fldCharType="begin"/>
      </w:r>
      <w:r w:rsidR="00430EA8" w:rsidRPr="007917A1">
        <w:rPr>
          <w:rFonts w:ascii="Times New Roman" w:hAnsi="Times New Roman" w:cs="Times New Roman"/>
          <w:sz w:val="24"/>
          <w:szCs w:val="24"/>
        </w:rPr>
        <w:instrText xml:space="preserve"> </w:instrText>
      </w:r>
      <w:r w:rsidR="00430EA8" w:rsidRPr="007917A1">
        <w:rPr>
          <w:rFonts w:ascii="Times New Roman" w:hAnsi="Times New Roman" w:cs="Times New Roman"/>
          <w:sz w:val="24"/>
          <w:szCs w:val="24"/>
          <w:lang w:val="en-US"/>
        </w:rPr>
        <w:instrText>REF</w:instrText>
      </w:r>
      <w:r w:rsidR="00430EA8" w:rsidRPr="007917A1">
        <w:rPr>
          <w:rFonts w:ascii="Times New Roman" w:hAnsi="Times New Roman" w:cs="Times New Roman"/>
          <w:sz w:val="24"/>
          <w:szCs w:val="24"/>
        </w:rPr>
        <w:instrText xml:space="preserve"> _</w:instrText>
      </w:r>
      <w:r w:rsidR="00430EA8" w:rsidRPr="007917A1">
        <w:rPr>
          <w:rFonts w:ascii="Times New Roman" w:hAnsi="Times New Roman" w:cs="Times New Roman"/>
          <w:sz w:val="24"/>
          <w:szCs w:val="24"/>
          <w:lang w:val="en-US"/>
        </w:rPr>
        <w:instrText>Ref</w:instrText>
      </w:r>
      <w:r w:rsidR="00430EA8" w:rsidRPr="007917A1">
        <w:rPr>
          <w:rFonts w:ascii="Times New Roman" w:hAnsi="Times New Roman" w:cs="Times New Roman"/>
          <w:sz w:val="24"/>
          <w:szCs w:val="24"/>
        </w:rPr>
        <w:instrText>529187921 \</w:instrText>
      </w:r>
      <w:r w:rsidR="00430EA8" w:rsidRPr="007917A1">
        <w:rPr>
          <w:rFonts w:ascii="Times New Roman" w:hAnsi="Times New Roman" w:cs="Times New Roman"/>
          <w:sz w:val="24"/>
          <w:szCs w:val="24"/>
          <w:lang w:val="en-US"/>
        </w:rPr>
        <w:instrText>r</w:instrText>
      </w:r>
      <w:r w:rsidR="00430EA8" w:rsidRPr="007917A1">
        <w:rPr>
          <w:rFonts w:ascii="Times New Roman" w:hAnsi="Times New Roman" w:cs="Times New Roman"/>
          <w:sz w:val="24"/>
          <w:szCs w:val="24"/>
        </w:rPr>
        <w:instrText xml:space="preserve"> \</w:instrText>
      </w:r>
      <w:r w:rsidR="00430EA8" w:rsidRPr="007917A1">
        <w:rPr>
          <w:rFonts w:ascii="Times New Roman" w:hAnsi="Times New Roman" w:cs="Times New Roman"/>
          <w:sz w:val="24"/>
          <w:szCs w:val="24"/>
          <w:lang w:val="en-US"/>
        </w:rPr>
        <w:instrText>h</w:instrText>
      </w:r>
      <w:r w:rsidR="00430EA8" w:rsidRPr="007917A1">
        <w:rPr>
          <w:rFonts w:ascii="Times New Roman" w:hAnsi="Times New Roman" w:cs="Times New Roman"/>
          <w:sz w:val="24"/>
          <w:szCs w:val="24"/>
        </w:rPr>
        <w:instrText xml:space="preserve"> </w:instrText>
      </w:r>
      <w:r w:rsidR="00430EA8" w:rsidRPr="007917A1">
        <w:rPr>
          <w:rFonts w:ascii="Times New Roman" w:hAnsi="Times New Roman" w:cs="Times New Roman"/>
          <w:sz w:val="24"/>
          <w:szCs w:val="24"/>
          <w:lang w:val="en-US"/>
        </w:rPr>
      </w:r>
      <w:r w:rsidR="007917A1" w:rsidRPr="007917A1">
        <w:rPr>
          <w:rFonts w:ascii="Times New Roman" w:hAnsi="Times New Roman" w:cs="Times New Roman"/>
          <w:sz w:val="24"/>
          <w:szCs w:val="24"/>
        </w:rPr>
        <w:instrText xml:space="preserve"> \* </w:instrText>
      </w:r>
      <w:r w:rsidR="007917A1">
        <w:rPr>
          <w:rFonts w:ascii="Times New Roman" w:hAnsi="Times New Roman" w:cs="Times New Roman"/>
          <w:sz w:val="24"/>
          <w:szCs w:val="24"/>
          <w:lang w:val="en-US"/>
        </w:rPr>
        <w:instrText>MERGEFORMAT</w:instrText>
      </w:r>
      <w:r w:rsidR="007917A1" w:rsidRPr="007917A1">
        <w:rPr>
          <w:rFonts w:ascii="Times New Roman" w:hAnsi="Times New Roman" w:cs="Times New Roman"/>
          <w:sz w:val="24"/>
          <w:szCs w:val="24"/>
        </w:rPr>
        <w:instrText xml:space="preserve"> </w:instrText>
      </w:r>
      <w:r w:rsidR="00430EA8" w:rsidRPr="007917A1">
        <w:rPr>
          <w:rFonts w:ascii="Times New Roman" w:hAnsi="Times New Roman" w:cs="Times New Roman"/>
          <w:sz w:val="24"/>
          <w:szCs w:val="24"/>
          <w:lang w:val="en-US"/>
        </w:rPr>
        <w:fldChar w:fldCharType="separate"/>
      </w:r>
      <w:r w:rsidR="002A4CDE" w:rsidRPr="007917A1">
        <w:rPr>
          <w:rFonts w:ascii="Times New Roman" w:hAnsi="Times New Roman" w:cs="Times New Roman"/>
          <w:sz w:val="24"/>
          <w:szCs w:val="24"/>
        </w:rPr>
        <w:t>18</w:t>
      </w:r>
      <w:r w:rsidR="00430EA8" w:rsidRPr="007917A1">
        <w:rPr>
          <w:rFonts w:ascii="Times New Roman" w:hAnsi="Times New Roman" w:cs="Times New Roman"/>
          <w:sz w:val="24"/>
          <w:szCs w:val="24"/>
          <w:lang w:val="en-US"/>
        </w:rPr>
        <w:fldChar w:fldCharType="end"/>
      </w:r>
      <w:r w:rsidR="00430EA8" w:rsidRPr="007917A1">
        <w:rPr>
          <w:rFonts w:ascii="Times New Roman" w:hAnsi="Times New Roman" w:cs="Times New Roman"/>
          <w:sz w:val="24"/>
          <w:szCs w:val="24"/>
        </w:rPr>
        <w:t>]</w:t>
      </w:r>
      <w:r w:rsidR="0051155E" w:rsidRPr="007917A1">
        <w:rPr>
          <w:rFonts w:ascii="Times New Roman" w:hAnsi="Times New Roman" w:cs="Times New Roman"/>
          <w:sz w:val="24"/>
          <w:szCs w:val="24"/>
        </w:rPr>
        <w:t>)</w:t>
      </w:r>
      <w:r w:rsidR="001A6EEA" w:rsidRPr="007917A1">
        <w:rPr>
          <w:rFonts w:ascii="Times New Roman" w:hAnsi="Times New Roman" w:cs="Times New Roman"/>
          <w:sz w:val="24"/>
          <w:szCs w:val="24"/>
        </w:rPr>
        <w:t>.</w:t>
      </w:r>
    </w:p>
    <w:p w:rsidR="0021344C" w:rsidRPr="007917A1" w:rsidRDefault="00515F41" w:rsidP="004B41CB">
      <w:pPr>
        <w:spacing w:before="120" w:after="0" w:line="360" w:lineRule="auto"/>
        <w:rPr>
          <w:rFonts w:ascii="Times New Roman" w:eastAsia="Times New Roman" w:hAnsi="Times New Roman" w:cs="Times New Roman"/>
          <w:b/>
          <w:sz w:val="24"/>
          <w:szCs w:val="24"/>
          <w:lang w:eastAsia="ru-RU"/>
        </w:rPr>
      </w:pPr>
      <w:r w:rsidRPr="007917A1">
        <w:rPr>
          <w:rFonts w:ascii="Times New Roman" w:eastAsia="Times New Roman" w:hAnsi="Times New Roman" w:cs="Times New Roman"/>
          <w:b/>
          <w:sz w:val="24"/>
          <w:szCs w:val="24"/>
          <w:lang w:eastAsia="ru-RU"/>
        </w:rPr>
        <w:lastRenderedPageBreak/>
        <w:t>Основные понятия об учете и оценке недвижимых активов банковской системы России</w:t>
      </w:r>
    </w:p>
    <w:p w:rsidR="00515F41" w:rsidRPr="007917A1" w:rsidRDefault="00515F41" w:rsidP="004B41CB">
      <w:pPr>
        <w:spacing w:before="120" w:after="0" w:line="360" w:lineRule="auto"/>
        <w:jc w:val="both"/>
        <w:rPr>
          <w:rFonts w:ascii="Times New Roman" w:hAnsi="Times New Roman" w:cs="Times New Roman"/>
          <w:sz w:val="24"/>
          <w:szCs w:val="24"/>
        </w:rPr>
      </w:pPr>
      <w:r w:rsidRPr="007917A1">
        <w:rPr>
          <w:rFonts w:ascii="Times New Roman" w:hAnsi="Times New Roman" w:cs="Times New Roman"/>
          <w:sz w:val="24"/>
          <w:szCs w:val="24"/>
        </w:rPr>
        <w:t>Регламентирование балансового учета и оценки недвижимости банков осуществляется Положением Банка России  от 22 декабря 2014 г. № 448-П  (далее ПБУ</w:t>
      </w:r>
      <w:r w:rsidR="00161772" w:rsidRPr="007917A1">
        <w:rPr>
          <w:rStyle w:val="a8"/>
          <w:rFonts w:ascii="Times New Roman" w:hAnsi="Times New Roman" w:cs="Times New Roman"/>
          <w:sz w:val="24"/>
          <w:szCs w:val="24"/>
        </w:rPr>
        <w:footnoteReference w:id="3"/>
      </w:r>
      <w:r w:rsidRPr="007917A1">
        <w:rPr>
          <w:rFonts w:ascii="Times New Roman" w:hAnsi="Times New Roman" w:cs="Times New Roman"/>
          <w:sz w:val="24"/>
          <w:szCs w:val="24"/>
        </w:rPr>
        <w:t xml:space="preserve">). </w:t>
      </w:r>
    </w:p>
    <w:p w:rsidR="00515F41" w:rsidRPr="007917A1" w:rsidRDefault="00515F41" w:rsidP="004B41CB">
      <w:pPr>
        <w:spacing w:before="120" w:after="0" w:line="360" w:lineRule="auto"/>
        <w:jc w:val="both"/>
        <w:rPr>
          <w:rFonts w:ascii="Times New Roman" w:hAnsi="Times New Roman" w:cs="Times New Roman"/>
          <w:sz w:val="24"/>
          <w:szCs w:val="24"/>
        </w:rPr>
      </w:pPr>
      <w:r w:rsidRPr="007917A1">
        <w:rPr>
          <w:rFonts w:ascii="Times New Roman" w:hAnsi="Times New Roman" w:cs="Times New Roman"/>
          <w:sz w:val="24"/>
          <w:szCs w:val="24"/>
        </w:rPr>
        <w:t xml:space="preserve">Согласно п.4 ПБУ оценка справедливой стоимости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осуществляется в порядке, определенном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Минфина России от 18 июля 2012 года № 106н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зарегистрированным Министерством юстиции Российской Федерации </w:t>
      </w:r>
      <w:r w:rsidR="00C93E47" w:rsidRPr="007917A1">
        <w:rPr>
          <w:rFonts w:ascii="Times New Roman" w:hAnsi="Times New Roman" w:cs="Times New Roman"/>
          <w:sz w:val="24"/>
          <w:szCs w:val="24"/>
        </w:rPr>
        <w:t>3 </w:t>
      </w:r>
      <w:r w:rsidRPr="007917A1">
        <w:rPr>
          <w:rFonts w:ascii="Times New Roman" w:hAnsi="Times New Roman" w:cs="Times New Roman"/>
          <w:sz w:val="24"/>
          <w:szCs w:val="24"/>
        </w:rPr>
        <w:t xml:space="preserve">августа 2012 года № 25095 (Российская газета от 15 августа 2012 года). </w:t>
      </w:r>
    </w:p>
    <w:p w:rsidR="00515F41" w:rsidRPr="007917A1" w:rsidRDefault="00515F41" w:rsidP="004B41CB">
      <w:pPr>
        <w:spacing w:before="120" w:after="0" w:line="360" w:lineRule="auto"/>
        <w:jc w:val="both"/>
        <w:rPr>
          <w:rFonts w:ascii="Times New Roman" w:hAnsi="Times New Roman" w:cs="Times New Roman"/>
          <w:sz w:val="24"/>
          <w:szCs w:val="24"/>
        </w:rPr>
      </w:pPr>
      <w:r w:rsidRPr="007917A1">
        <w:rPr>
          <w:rFonts w:ascii="Times New Roman" w:hAnsi="Times New Roman" w:cs="Times New Roman"/>
          <w:sz w:val="24"/>
          <w:szCs w:val="24"/>
        </w:rPr>
        <w:t>В свою очередь, в пп.</w:t>
      </w:r>
      <w:r w:rsidR="00AD6146" w:rsidRPr="007917A1">
        <w:rPr>
          <w:rFonts w:ascii="Times New Roman" w:hAnsi="Times New Roman" w:cs="Times New Roman"/>
          <w:sz w:val="24"/>
          <w:szCs w:val="24"/>
        </w:rPr>
        <w:t xml:space="preserve"> </w:t>
      </w:r>
      <w:r w:rsidRPr="007917A1">
        <w:rPr>
          <w:rFonts w:ascii="Times New Roman" w:hAnsi="Times New Roman" w:cs="Times New Roman"/>
          <w:sz w:val="24"/>
          <w:szCs w:val="24"/>
        </w:rPr>
        <w:t>61-66 МСФО</w:t>
      </w:r>
      <w:r w:rsidR="005A23D0" w:rsidRPr="007917A1">
        <w:rPr>
          <w:rStyle w:val="a8"/>
          <w:rFonts w:ascii="Times New Roman" w:hAnsi="Times New Roman" w:cs="Times New Roman"/>
          <w:sz w:val="24"/>
          <w:szCs w:val="24"/>
        </w:rPr>
        <w:footnoteReference w:id="4"/>
      </w:r>
      <w:r w:rsidRPr="007917A1">
        <w:rPr>
          <w:rFonts w:ascii="Times New Roman" w:hAnsi="Times New Roman" w:cs="Times New Roman"/>
          <w:sz w:val="24"/>
          <w:szCs w:val="24"/>
        </w:rPr>
        <w:t>, в части методологии оценки внимание акцентируется на мультипликативных рыночных моделях: «при рыночном подходе используются цены и другая уместная информация, генерируемая рыночными операциями с идентичными или сопоставимыми (то есть аналогичными) активами, обязательствами или группой активов и обязательств, такой как бизнес…  Например, в методах оценки, совместимых с рыночным подходом, часто используются рыночные множители, возникающие из комплекта сопоставимых показателей. Множители могут находиться в одних диапазонах с другим множителем по каждому сопоставимому показателю. Для выбора надлежащего множителя из диапазона требуется использовать суждение с учетом качественных и количественных факторов, специфических для оценки…Методы оценки, совместимые с рыночным подходом, включают матричное ценообразование. Матричное ценообразование – это математический метод, используемый преимущественно для оценки некоторых видов финансовых инструментов, таких как долговые ценные бумаги, не основываясь лишь на котируемых ценах на определенные ценные бумаги, а скорее на отношении ценных бумаг к другим котируемым ценным бумагам, используемым как ориентир».</w:t>
      </w:r>
    </w:p>
    <w:p w:rsidR="002C3B11" w:rsidRPr="007917A1" w:rsidRDefault="00515F41" w:rsidP="004B41CB">
      <w:pPr>
        <w:spacing w:before="120" w:after="0" w:line="360" w:lineRule="auto"/>
        <w:jc w:val="both"/>
        <w:rPr>
          <w:rFonts w:ascii="Times New Roman" w:hAnsi="Times New Roman" w:cs="Times New Roman"/>
          <w:sz w:val="24"/>
          <w:szCs w:val="24"/>
        </w:rPr>
      </w:pPr>
      <w:r w:rsidRPr="007917A1">
        <w:rPr>
          <w:rFonts w:ascii="Times New Roman" w:hAnsi="Times New Roman" w:cs="Times New Roman"/>
          <w:sz w:val="24"/>
          <w:szCs w:val="24"/>
        </w:rPr>
        <w:lastRenderedPageBreak/>
        <w:t>Приведенные нормы, на наш взгляд, игнорируют действующее законодательство об оценочной деятельности в РФ, оперирующее понятиями «рыночная» стоимость и «кадастровая» стоимость, но не «справедливая» стоимость недвижимых активов</w:t>
      </w:r>
      <w:r w:rsidR="00C93E47" w:rsidRPr="007917A1">
        <w:rPr>
          <w:rStyle w:val="a8"/>
          <w:rFonts w:ascii="Times New Roman" w:hAnsi="Times New Roman" w:cs="Times New Roman"/>
          <w:sz w:val="24"/>
          <w:szCs w:val="24"/>
        </w:rPr>
        <w:footnoteReference w:id="5"/>
      </w:r>
      <w:r w:rsidRPr="007917A1">
        <w:rPr>
          <w:rFonts w:ascii="Times New Roman" w:hAnsi="Times New Roman" w:cs="Times New Roman"/>
          <w:sz w:val="24"/>
          <w:szCs w:val="24"/>
        </w:rPr>
        <w:t>. Кроме того, регулятор, в противоречие указанному законодательству устанавливает, что кредитная организация самостоятельно определяет методы оценки, применяемые при определении справедливой стоимости, в стандартах экономического субъекта или иных внутренних документах. Возможно, данные правовые коллизии будут устранены в будущем, во избежание коррупционных практик и конфликта экономических интересов разных участников рынка.</w:t>
      </w:r>
      <w:r w:rsidR="00687CDE" w:rsidRPr="007917A1">
        <w:rPr>
          <w:rFonts w:ascii="Times New Roman" w:hAnsi="Times New Roman" w:cs="Times New Roman"/>
          <w:sz w:val="24"/>
          <w:szCs w:val="24"/>
        </w:rPr>
        <w:t xml:space="preserve"> Надо при этом отметить, что в международной оценочной практике понятие «справедливой» стоимости также дискутируется. В частности, во избежание терминологической путаницы, в Международных стандартах оценки в основных видам стоимости понятие «справедливой стоимости» </w:t>
      </w:r>
      <w:r w:rsidR="00AD6146" w:rsidRPr="007917A1">
        <w:rPr>
          <w:rFonts w:ascii="Times New Roman" w:hAnsi="Times New Roman" w:cs="Times New Roman"/>
          <w:sz w:val="24"/>
          <w:szCs w:val="24"/>
        </w:rPr>
        <w:t xml:space="preserve">упоминается именно применительно к IFRS 13 в подразделе «иные виды стоимости», аналогичное определение стандарта основных (базовых видов) стоимости при этом видоизменено на «равноправную стоимость» </w:t>
      </w:r>
      <w:r w:rsidR="00687CDE" w:rsidRPr="007917A1">
        <w:rPr>
          <w:rFonts w:ascii="Times New Roman" w:hAnsi="Times New Roman" w:cs="Times New Roman"/>
          <w:sz w:val="24"/>
          <w:szCs w:val="24"/>
        </w:rPr>
        <w:t>(</w:t>
      </w:r>
      <w:proofErr w:type="spellStart"/>
      <w:r w:rsidR="00687CDE" w:rsidRPr="007917A1">
        <w:rPr>
          <w:rFonts w:ascii="Times New Roman" w:hAnsi="Times New Roman" w:cs="Times New Roman"/>
          <w:sz w:val="24"/>
          <w:szCs w:val="24"/>
        </w:rPr>
        <w:t>equitable</w:t>
      </w:r>
      <w:proofErr w:type="spellEnd"/>
      <w:r w:rsidR="00687CDE" w:rsidRPr="007917A1">
        <w:rPr>
          <w:rFonts w:ascii="Times New Roman" w:hAnsi="Times New Roman" w:cs="Times New Roman"/>
          <w:sz w:val="24"/>
          <w:szCs w:val="24"/>
        </w:rPr>
        <w:t xml:space="preserve"> </w:t>
      </w:r>
      <w:proofErr w:type="spellStart"/>
      <w:r w:rsidR="00687CDE" w:rsidRPr="007917A1">
        <w:rPr>
          <w:rFonts w:ascii="Times New Roman" w:hAnsi="Times New Roman" w:cs="Times New Roman"/>
          <w:sz w:val="24"/>
          <w:szCs w:val="24"/>
        </w:rPr>
        <w:t>value</w:t>
      </w:r>
      <w:proofErr w:type="spellEnd"/>
      <w:r w:rsidR="00687CDE" w:rsidRPr="007917A1">
        <w:rPr>
          <w:rFonts w:ascii="Times New Roman" w:hAnsi="Times New Roman" w:cs="Times New Roman"/>
          <w:sz w:val="24"/>
          <w:szCs w:val="24"/>
        </w:rPr>
        <w:t>)</w:t>
      </w:r>
      <w:r w:rsidR="00566E34" w:rsidRPr="007917A1">
        <w:rPr>
          <w:rStyle w:val="a8"/>
          <w:rFonts w:ascii="Times New Roman" w:hAnsi="Times New Roman" w:cs="Times New Roman"/>
          <w:sz w:val="24"/>
          <w:szCs w:val="24"/>
        </w:rPr>
        <w:footnoteReference w:id="6"/>
      </w:r>
      <w:r w:rsidR="00687CDE" w:rsidRPr="007917A1">
        <w:rPr>
          <w:rFonts w:ascii="Times New Roman" w:hAnsi="Times New Roman" w:cs="Times New Roman"/>
          <w:sz w:val="24"/>
          <w:szCs w:val="24"/>
        </w:rPr>
        <w:t>.</w:t>
      </w:r>
      <w:r w:rsidR="00687CDE" w:rsidRPr="007917A1">
        <w:rPr>
          <w:rFonts w:ascii="Times New Roman" w:hAnsi="Times New Roman" w:cs="Times New Roman"/>
          <w:sz w:val="16"/>
          <w:szCs w:val="16"/>
        </w:rPr>
        <w:t xml:space="preserve"> </w:t>
      </w:r>
    </w:p>
    <w:p w:rsidR="00515F41" w:rsidRPr="007917A1" w:rsidRDefault="002C3B11" w:rsidP="004B41CB">
      <w:pPr>
        <w:spacing w:before="120" w:after="0" w:line="360" w:lineRule="auto"/>
        <w:jc w:val="both"/>
        <w:rPr>
          <w:rFonts w:ascii="Times New Roman" w:hAnsi="Times New Roman" w:cs="Times New Roman"/>
          <w:sz w:val="24"/>
          <w:szCs w:val="24"/>
        </w:rPr>
      </w:pPr>
      <w:r w:rsidRPr="007917A1">
        <w:rPr>
          <w:rFonts w:ascii="Times New Roman" w:hAnsi="Times New Roman" w:cs="Times New Roman"/>
          <w:sz w:val="24"/>
          <w:szCs w:val="24"/>
        </w:rPr>
        <w:t xml:space="preserve">Тем не менее, в целях дальнейшего обсуждения </w:t>
      </w:r>
      <w:r w:rsidR="00515F41" w:rsidRPr="007917A1">
        <w:rPr>
          <w:rFonts w:ascii="Times New Roman" w:hAnsi="Times New Roman" w:cs="Times New Roman"/>
          <w:sz w:val="24"/>
          <w:szCs w:val="24"/>
        </w:rPr>
        <w:t xml:space="preserve">продолжим анализ действующей практики, исходя из допущения о равнозначности «справедливой» и «рыночной» стоимости. </w:t>
      </w:r>
    </w:p>
    <w:p w:rsidR="00515F41" w:rsidRPr="007917A1" w:rsidRDefault="00515F41" w:rsidP="004B41CB">
      <w:pPr>
        <w:spacing w:before="120" w:after="0" w:line="360" w:lineRule="auto"/>
        <w:jc w:val="both"/>
        <w:rPr>
          <w:rFonts w:ascii="Times New Roman" w:hAnsi="Times New Roman" w:cs="Times New Roman"/>
          <w:sz w:val="24"/>
          <w:szCs w:val="24"/>
        </w:rPr>
      </w:pPr>
      <w:r w:rsidRPr="007917A1">
        <w:rPr>
          <w:rFonts w:ascii="Times New Roman" w:hAnsi="Times New Roman" w:cs="Times New Roman"/>
          <w:sz w:val="24"/>
          <w:szCs w:val="24"/>
        </w:rPr>
        <w:t xml:space="preserve">Рассмотрим </w:t>
      </w:r>
      <w:r w:rsidR="000E73E2" w:rsidRPr="007917A1">
        <w:rPr>
          <w:rFonts w:ascii="Times New Roman" w:hAnsi="Times New Roman" w:cs="Times New Roman"/>
          <w:sz w:val="24"/>
          <w:szCs w:val="24"/>
        </w:rPr>
        <w:t xml:space="preserve">также </w:t>
      </w:r>
      <w:r w:rsidRPr="007917A1">
        <w:rPr>
          <w:rFonts w:ascii="Times New Roman" w:hAnsi="Times New Roman" w:cs="Times New Roman"/>
          <w:sz w:val="24"/>
          <w:szCs w:val="24"/>
        </w:rPr>
        <w:t xml:space="preserve">некоторые основные понятия и определения об учете недвижимости банков, установленные </w:t>
      </w:r>
      <w:r w:rsidR="00642C64" w:rsidRPr="007917A1">
        <w:rPr>
          <w:rFonts w:ascii="Times New Roman" w:hAnsi="Times New Roman" w:cs="Times New Roman"/>
          <w:sz w:val="24"/>
          <w:szCs w:val="24"/>
        </w:rPr>
        <w:t>Положением по ведению бухгалтерского учёта №</w:t>
      </w:r>
      <w:r w:rsidR="00EC0E2C" w:rsidRPr="007917A1">
        <w:rPr>
          <w:rFonts w:ascii="Times New Roman" w:hAnsi="Times New Roman" w:cs="Times New Roman"/>
          <w:sz w:val="24"/>
          <w:szCs w:val="24"/>
        </w:rPr>
        <w:t>448</w:t>
      </w:r>
      <w:r w:rsidR="00642C64" w:rsidRPr="007917A1">
        <w:rPr>
          <w:rFonts w:ascii="Times New Roman" w:hAnsi="Times New Roman" w:cs="Times New Roman"/>
          <w:sz w:val="24"/>
          <w:szCs w:val="24"/>
        </w:rPr>
        <w:t xml:space="preserve">-П (далее – </w:t>
      </w:r>
      <w:r w:rsidRPr="007917A1">
        <w:rPr>
          <w:rFonts w:ascii="Times New Roman" w:hAnsi="Times New Roman" w:cs="Times New Roman"/>
          <w:sz w:val="24"/>
          <w:szCs w:val="24"/>
        </w:rPr>
        <w:t>ПБУ</w:t>
      </w:r>
      <w:r w:rsidR="00687663" w:rsidRPr="007917A1">
        <w:rPr>
          <w:rStyle w:val="a8"/>
          <w:rFonts w:ascii="Times New Roman" w:hAnsi="Times New Roman" w:cs="Times New Roman"/>
          <w:sz w:val="24"/>
          <w:szCs w:val="24"/>
        </w:rPr>
        <w:footnoteReference w:id="7"/>
      </w:r>
      <w:r w:rsidR="00642C64" w:rsidRPr="007917A1">
        <w:rPr>
          <w:rFonts w:ascii="Times New Roman" w:hAnsi="Times New Roman" w:cs="Times New Roman"/>
          <w:sz w:val="24"/>
          <w:szCs w:val="24"/>
        </w:rPr>
        <w:t>)</w:t>
      </w:r>
      <w:r w:rsidR="000E73E2" w:rsidRPr="007917A1">
        <w:rPr>
          <w:rFonts w:ascii="Times New Roman" w:hAnsi="Times New Roman" w:cs="Times New Roman"/>
          <w:sz w:val="24"/>
          <w:szCs w:val="24"/>
        </w:rPr>
        <w:t>, в частности н</w:t>
      </w:r>
      <w:r w:rsidRPr="007917A1">
        <w:rPr>
          <w:rFonts w:ascii="Times New Roman" w:hAnsi="Times New Roman" w:cs="Times New Roman"/>
          <w:sz w:val="24"/>
          <w:szCs w:val="24"/>
        </w:rPr>
        <w:t>едвижим</w:t>
      </w:r>
      <w:r w:rsidR="00B3479F" w:rsidRPr="007917A1">
        <w:rPr>
          <w:rFonts w:ascii="Times New Roman" w:hAnsi="Times New Roman" w:cs="Times New Roman"/>
          <w:sz w:val="24"/>
          <w:szCs w:val="24"/>
        </w:rPr>
        <w:t>ые</w:t>
      </w:r>
      <w:r w:rsidRPr="007917A1">
        <w:rPr>
          <w:rFonts w:ascii="Times New Roman" w:hAnsi="Times New Roman" w:cs="Times New Roman"/>
          <w:sz w:val="24"/>
          <w:szCs w:val="24"/>
        </w:rPr>
        <w:t xml:space="preserve"> активы </w:t>
      </w:r>
      <w:r w:rsidR="00B3479F" w:rsidRPr="007917A1">
        <w:rPr>
          <w:rFonts w:ascii="Times New Roman" w:hAnsi="Times New Roman" w:cs="Times New Roman"/>
          <w:sz w:val="24"/>
          <w:szCs w:val="24"/>
        </w:rPr>
        <w:t xml:space="preserve">в собственности </w:t>
      </w:r>
      <w:r w:rsidRPr="007917A1">
        <w:rPr>
          <w:rFonts w:ascii="Times New Roman" w:hAnsi="Times New Roman" w:cs="Times New Roman"/>
          <w:sz w:val="24"/>
          <w:szCs w:val="24"/>
        </w:rPr>
        <w:t xml:space="preserve">банков включают следующие </w:t>
      </w:r>
      <w:r w:rsidR="00B3479F" w:rsidRPr="007917A1">
        <w:rPr>
          <w:rFonts w:ascii="Times New Roman" w:hAnsi="Times New Roman" w:cs="Times New Roman"/>
          <w:sz w:val="24"/>
          <w:szCs w:val="24"/>
        </w:rPr>
        <w:t xml:space="preserve">основные </w:t>
      </w:r>
      <w:r w:rsidRPr="007917A1">
        <w:rPr>
          <w:rFonts w:ascii="Times New Roman" w:hAnsi="Times New Roman" w:cs="Times New Roman"/>
          <w:sz w:val="24"/>
          <w:szCs w:val="24"/>
        </w:rPr>
        <w:t>категории:</w:t>
      </w:r>
    </w:p>
    <w:p w:rsidR="00515F41" w:rsidRPr="007917A1" w:rsidRDefault="00515F41" w:rsidP="004B41CB">
      <w:pPr>
        <w:pStyle w:val="a5"/>
        <w:numPr>
          <w:ilvl w:val="0"/>
          <w:numId w:val="21"/>
        </w:numPr>
        <w:spacing w:before="120" w:after="160" w:line="360" w:lineRule="auto"/>
        <w:ind w:left="567" w:hanging="567"/>
        <w:jc w:val="both"/>
        <w:rPr>
          <w:rFonts w:ascii="Times New Roman" w:hAnsi="Times New Roman" w:cs="Times New Roman"/>
          <w:sz w:val="24"/>
          <w:szCs w:val="24"/>
        </w:rPr>
      </w:pPr>
      <w:r w:rsidRPr="007917A1">
        <w:rPr>
          <w:rFonts w:ascii="Times New Roman" w:hAnsi="Times New Roman" w:cs="Times New Roman"/>
          <w:sz w:val="24"/>
          <w:szCs w:val="24"/>
        </w:rPr>
        <w:t>основные средства;</w:t>
      </w:r>
    </w:p>
    <w:p w:rsidR="00515F41" w:rsidRPr="007917A1" w:rsidRDefault="00515F41" w:rsidP="004B41CB">
      <w:pPr>
        <w:pStyle w:val="a5"/>
        <w:numPr>
          <w:ilvl w:val="0"/>
          <w:numId w:val="21"/>
        </w:numPr>
        <w:spacing w:before="120" w:after="160" w:line="360" w:lineRule="auto"/>
        <w:ind w:left="567" w:hanging="567"/>
        <w:jc w:val="both"/>
        <w:rPr>
          <w:rFonts w:ascii="Times New Roman" w:hAnsi="Times New Roman" w:cs="Times New Roman"/>
          <w:sz w:val="24"/>
          <w:szCs w:val="24"/>
        </w:rPr>
      </w:pPr>
      <w:r w:rsidRPr="007917A1">
        <w:rPr>
          <w:rFonts w:ascii="Times New Roman" w:hAnsi="Times New Roman" w:cs="Times New Roman"/>
          <w:sz w:val="24"/>
          <w:szCs w:val="24"/>
        </w:rPr>
        <w:t>недвижимость, временно неиспользуемая в основной деятельности</w:t>
      </w:r>
      <w:r w:rsidR="00CE40AB" w:rsidRPr="007917A1">
        <w:rPr>
          <w:rFonts w:ascii="Times New Roman" w:hAnsi="Times New Roman" w:cs="Times New Roman"/>
          <w:sz w:val="24"/>
          <w:szCs w:val="24"/>
        </w:rPr>
        <w:t xml:space="preserve"> (далее – НВНОД)</w:t>
      </w:r>
      <w:r w:rsidRPr="007917A1">
        <w:rPr>
          <w:rFonts w:ascii="Times New Roman" w:hAnsi="Times New Roman" w:cs="Times New Roman"/>
          <w:sz w:val="24"/>
          <w:szCs w:val="24"/>
        </w:rPr>
        <w:t>;</w:t>
      </w:r>
    </w:p>
    <w:p w:rsidR="00515F41" w:rsidRPr="007917A1" w:rsidRDefault="00515F41" w:rsidP="004B41CB">
      <w:pPr>
        <w:pStyle w:val="a5"/>
        <w:numPr>
          <w:ilvl w:val="0"/>
          <w:numId w:val="21"/>
        </w:numPr>
        <w:spacing w:before="120" w:after="160" w:line="360" w:lineRule="auto"/>
        <w:ind w:left="567" w:hanging="567"/>
        <w:jc w:val="both"/>
        <w:rPr>
          <w:rFonts w:ascii="Times New Roman" w:hAnsi="Times New Roman" w:cs="Times New Roman"/>
          <w:sz w:val="24"/>
          <w:szCs w:val="24"/>
        </w:rPr>
      </w:pPr>
      <w:r w:rsidRPr="007917A1">
        <w:rPr>
          <w:rFonts w:ascii="Times New Roman" w:hAnsi="Times New Roman" w:cs="Times New Roman"/>
          <w:sz w:val="24"/>
          <w:szCs w:val="24"/>
        </w:rPr>
        <w:t>долгосрочные активы, предназначенные для продажи</w:t>
      </w:r>
      <w:r w:rsidR="00CE40AB" w:rsidRPr="007917A1">
        <w:rPr>
          <w:rFonts w:ascii="Times New Roman" w:hAnsi="Times New Roman" w:cs="Times New Roman"/>
          <w:sz w:val="24"/>
          <w:szCs w:val="24"/>
        </w:rPr>
        <w:t xml:space="preserve"> (далее – ДАПП)</w:t>
      </w:r>
      <w:r w:rsidRPr="007917A1">
        <w:rPr>
          <w:rFonts w:ascii="Times New Roman" w:hAnsi="Times New Roman" w:cs="Times New Roman"/>
          <w:sz w:val="24"/>
          <w:szCs w:val="24"/>
        </w:rPr>
        <w:t>.</w:t>
      </w:r>
    </w:p>
    <w:p w:rsidR="00CE40AB" w:rsidRPr="007917A1" w:rsidRDefault="00CE40AB"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 xml:space="preserve">Приведенные категории включают основной объем недвижимых активов в собственности </w:t>
      </w:r>
      <w:r w:rsidR="000E73E2" w:rsidRPr="007917A1">
        <w:rPr>
          <w:rFonts w:ascii="Times New Roman" w:hAnsi="Times New Roman" w:cs="Times New Roman"/>
          <w:sz w:val="24"/>
          <w:szCs w:val="24"/>
        </w:rPr>
        <w:t>кредитных организаций</w:t>
      </w:r>
      <w:r w:rsidRPr="007917A1">
        <w:rPr>
          <w:rFonts w:ascii="Times New Roman" w:hAnsi="Times New Roman" w:cs="Times New Roman"/>
          <w:sz w:val="24"/>
          <w:szCs w:val="24"/>
        </w:rPr>
        <w:t xml:space="preserve">, при этом недвижимость учитываемая в составе основных средств – это преимущественно операционная (используемая в основной деятельности или </w:t>
      </w:r>
      <w:r w:rsidRPr="007917A1">
        <w:rPr>
          <w:rFonts w:ascii="Times New Roman" w:hAnsi="Times New Roman" w:cs="Times New Roman"/>
          <w:sz w:val="24"/>
          <w:szCs w:val="24"/>
        </w:rPr>
        <w:lastRenderedPageBreak/>
        <w:t>«корпоративная» недвижимость), учитываемая в составе НВНОД и ДАПП – неиспользуемая в основной деятельности (в том числе выведенная из использования в основной деятельности, либо полученная при урегулировании проблемной задолженности).</w:t>
      </w:r>
      <w:r w:rsidR="00CA5FC1" w:rsidRPr="007917A1">
        <w:rPr>
          <w:rFonts w:ascii="Times New Roman" w:hAnsi="Times New Roman" w:cs="Times New Roman"/>
          <w:sz w:val="24"/>
          <w:szCs w:val="24"/>
        </w:rPr>
        <w:t xml:space="preserve"> </w:t>
      </w:r>
      <w:r w:rsidRPr="007917A1">
        <w:rPr>
          <w:rFonts w:ascii="Times New Roman" w:hAnsi="Times New Roman" w:cs="Times New Roman"/>
          <w:sz w:val="24"/>
          <w:szCs w:val="24"/>
        </w:rPr>
        <w:t>Не останавл</w:t>
      </w:r>
      <w:r w:rsidR="001B3B90" w:rsidRPr="007917A1">
        <w:rPr>
          <w:rFonts w:ascii="Times New Roman" w:hAnsi="Times New Roman" w:cs="Times New Roman"/>
          <w:sz w:val="24"/>
          <w:szCs w:val="24"/>
        </w:rPr>
        <w:t>ива</w:t>
      </w:r>
      <w:r w:rsidRPr="007917A1">
        <w:rPr>
          <w:rFonts w:ascii="Times New Roman" w:hAnsi="Times New Roman" w:cs="Times New Roman"/>
          <w:sz w:val="24"/>
          <w:szCs w:val="24"/>
        </w:rPr>
        <w:t>ясь более подробно на особенностях бухгалтерского учёта каждой категории, проведём анализ стоимостной структуры недвижимых активов</w:t>
      </w:r>
      <w:r w:rsidR="00171B5A" w:rsidRPr="007917A1">
        <w:rPr>
          <w:rStyle w:val="a8"/>
          <w:rFonts w:ascii="Times New Roman" w:hAnsi="Times New Roman" w:cs="Times New Roman"/>
          <w:sz w:val="24"/>
          <w:szCs w:val="24"/>
        </w:rPr>
        <w:footnoteReference w:id="8"/>
      </w:r>
      <w:r w:rsidRPr="007917A1">
        <w:rPr>
          <w:rFonts w:ascii="Times New Roman" w:hAnsi="Times New Roman" w:cs="Times New Roman"/>
          <w:sz w:val="24"/>
          <w:szCs w:val="24"/>
        </w:rPr>
        <w:t>.</w:t>
      </w:r>
    </w:p>
    <w:p w:rsidR="00FC13A6" w:rsidRPr="007917A1" w:rsidRDefault="00FC13A6" w:rsidP="00FC13A6">
      <w:pPr>
        <w:keepNext/>
        <w:spacing w:line="360" w:lineRule="auto"/>
        <w:contextualSpacing/>
        <w:jc w:val="both"/>
        <w:rPr>
          <w:rFonts w:ascii="Times New Roman" w:eastAsia="Times New Roman" w:hAnsi="Times New Roman" w:cs="Times New Roman"/>
          <w:b/>
          <w:i/>
          <w:sz w:val="24"/>
          <w:szCs w:val="24"/>
          <w:lang w:eastAsia="ru-RU"/>
        </w:rPr>
      </w:pPr>
      <w:r w:rsidRPr="007917A1">
        <w:rPr>
          <w:rFonts w:ascii="Times New Roman" w:eastAsia="Times New Roman" w:hAnsi="Times New Roman" w:cs="Times New Roman"/>
          <w:b/>
          <w:i/>
          <w:sz w:val="24"/>
          <w:szCs w:val="24"/>
          <w:lang w:eastAsia="ru-RU"/>
        </w:rPr>
        <w:t xml:space="preserve">Рисунок </w:t>
      </w:r>
      <w:r w:rsidRPr="007917A1">
        <w:rPr>
          <w:rFonts w:ascii="Times New Roman" w:eastAsia="Times New Roman" w:hAnsi="Times New Roman" w:cs="Times New Roman"/>
          <w:b/>
          <w:i/>
          <w:sz w:val="24"/>
          <w:szCs w:val="24"/>
          <w:lang w:eastAsia="ru-RU"/>
        </w:rPr>
        <w:fldChar w:fldCharType="begin"/>
      </w:r>
      <w:r w:rsidRPr="007917A1">
        <w:rPr>
          <w:rFonts w:ascii="Times New Roman" w:eastAsia="Times New Roman" w:hAnsi="Times New Roman" w:cs="Times New Roman"/>
          <w:b/>
          <w:i/>
          <w:sz w:val="24"/>
          <w:szCs w:val="24"/>
          <w:lang w:eastAsia="ru-RU"/>
        </w:rPr>
        <w:instrText xml:space="preserve"> SEQ Рисунок \* ARABIC </w:instrText>
      </w:r>
      <w:r w:rsidRPr="007917A1">
        <w:rPr>
          <w:rFonts w:ascii="Times New Roman" w:eastAsia="Times New Roman" w:hAnsi="Times New Roman" w:cs="Times New Roman"/>
          <w:b/>
          <w:i/>
          <w:sz w:val="24"/>
          <w:szCs w:val="24"/>
          <w:lang w:eastAsia="ru-RU"/>
        </w:rPr>
        <w:fldChar w:fldCharType="separate"/>
      </w:r>
      <w:r w:rsidR="001B3B90" w:rsidRPr="007917A1">
        <w:rPr>
          <w:rFonts w:ascii="Times New Roman" w:eastAsia="Times New Roman" w:hAnsi="Times New Roman" w:cs="Times New Roman"/>
          <w:b/>
          <w:i/>
          <w:noProof/>
          <w:sz w:val="24"/>
          <w:szCs w:val="24"/>
          <w:lang w:eastAsia="ru-RU"/>
        </w:rPr>
        <w:t>1</w:t>
      </w:r>
      <w:r w:rsidRPr="007917A1">
        <w:rPr>
          <w:rFonts w:ascii="Times New Roman" w:eastAsia="Times New Roman" w:hAnsi="Times New Roman" w:cs="Times New Roman"/>
          <w:b/>
          <w:i/>
          <w:sz w:val="24"/>
          <w:szCs w:val="24"/>
          <w:lang w:eastAsia="ru-RU"/>
        </w:rPr>
        <w:fldChar w:fldCharType="end"/>
      </w:r>
      <w:r w:rsidRPr="007917A1">
        <w:rPr>
          <w:rFonts w:ascii="Times New Roman" w:eastAsia="Times New Roman" w:hAnsi="Times New Roman" w:cs="Times New Roman"/>
          <w:b/>
          <w:i/>
          <w:sz w:val="24"/>
          <w:szCs w:val="24"/>
          <w:lang w:eastAsia="ru-RU"/>
        </w:rPr>
        <w:t>.</w:t>
      </w:r>
    </w:p>
    <w:p w:rsidR="00FC13A6" w:rsidRPr="007917A1" w:rsidRDefault="00FC13A6" w:rsidP="00FC13A6">
      <w:pPr>
        <w:spacing w:line="360" w:lineRule="auto"/>
        <w:contextualSpacing/>
        <w:jc w:val="both"/>
        <w:rPr>
          <w:rFonts w:ascii="Times New Roman" w:hAnsi="Times New Roman" w:cs="Times New Roman"/>
          <w:b/>
          <w:sz w:val="28"/>
          <w:szCs w:val="28"/>
        </w:rPr>
      </w:pPr>
      <w:r w:rsidRPr="007917A1">
        <w:rPr>
          <w:rFonts w:ascii="Times New Roman" w:eastAsia="Times New Roman" w:hAnsi="Times New Roman" w:cs="Times New Roman"/>
          <w:b/>
          <w:sz w:val="24"/>
          <w:szCs w:val="24"/>
          <w:lang w:eastAsia="ru-RU"/>
        </w:rPr>
        <w:t>Динамика балансовой стоимости недвижимых активов банковской системы России</w:t>
      </w:r>
      <w:r w:rsidRPr="007917A1" w:rsidDel="00CE40AB">
        <w:rPr>
          <w:rFonts w:ascii="Times New Roman" w:hAnsi="Times New Roman" w:cs="Times New Roman"/>
          <w:b/>
          <w:sz w:val="24"/>
          <w:szCs w:val="24"/>
        </w:rPr>
        <w:t xml:space="preserve"> </w:t>
      </w:r>
    </w:p>
    <w:p w:rsidR="00FC13A6" w:rsidRPr="007917A1" w:rsidRDefault="00FC13A6" w:rsidP="00FC13A6">
      <w:pPr>
        <w:spacing w:line="360" w:lineRule="auto"/>
        <w:contextualSpacing/>
        <w:jc w:val="both"/>
        <w:rPr>
          <w:rFonts w:ascii="Times New Roman" w:hAnsi="Times New Roman" w:cs="Times New Roman"/>
          <w:i/>
          <w:sz w:val="24"/>
          <w:szCs w:val="24"/>
          <w:lang w:val="en-US"/>
        </w:rPr>
      </w:pPr>
      <w:r w:rsidRPr="007917A1">
        <w:rPr>
          <w:rFonts w:ascii="Times New Roman" w:eastAsia="Times New Roman" w:hAnsi="Times New Roman" w:cs="Times New Roman"/>
          <w:b/>
          <w:noProof/>
          <w:sz w:val="24"/>
          <w:szCs w:val="24"/>
          <w:lang w:eastAsia="ru-RU"/>
        </w:rPr>
        <w:drawing>
          <wp:inline distT="0" distB="0" distL="0" distR="0" wp14:anchorId="7E6DB11E" wp14:editId="5130C62E">
            <wp:extent cx="5943600" cy="3386667"/>
            <wp:effectExtent l="0" t="0" r="19050" b="234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49F6" w:rsidRPr="007917A1" w:rsidRDefault="001B3B90" w:rsidP="00DE49F6">
      <w:pPr>
        <w:spacing w:line="360" w:lineRule="auto"/>
        <w:contextualSpacing/>
        <w:jc w:val="both"/>
        <w:rPr>
          <w:rFonts w:ascii="Times New Roman" w:hAnsi="Times New Roman" w:cs="Times New Roman"/>
          <w:i/>
          <w:sz w:val="20"/>
          <w:szCs w:val="20"/>
        </w:rPr>
      </w:pPr>
      <w:r w:rsidRPr="007917A1">
        <w:rPr>
          <w:rFonts w:ascii="Times New Roman" w:hAnsi="Times New Roman" w:cs="Times New Roman"/>
          <w:i/>
          <w:sz w:val="20"/>
          <w:szCs w:val="20"/>
        </w:rPr>
        <w:t>Источник: расчёты авторов</w:t>
      </w:r>
      <w:r w:rsidR="00FA3583" w:rsidRPr="007917A1">
        <w:rPr>
          <w:rFonts w:ascii="Times New Roman" w:hAnsi="Times New Roman" w:cs="Times New Roman"/>
          <w:i/>
          <w:sz w:val="20"/>
          <w:szCs w:val="20"/>
        </w:rPr>
        <w:t xml:space="preserve"> по данным Банка России</w:t>
      </w:r>
    </w:p>
    <w:p w:rsidR="003F54DF" w:rsidRPr="007917A1" w:rsidRDefault="009A195C"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П</w:t>
      </w:r>
      <w:r w:rsidR="00BC48A4" w:rsidRPr="007917A1">
        <w:rPr>
          <w:rFonts w:ascii="Times New Roman" w:hAnsi="Times New Roman" w:cs="Times New Roman"/>
          <w:sz w:val="24"/>
          <w:szCs w:val="24"/>
        </w:rPr>
        <w:t>о состоянию на 01.1</w:t>
      </w:r>
      <w:r w:rsidR="0020362A" w:rsidRPr="007917A1">
        <w:rPr>
          <w:rFonts w:ascii="Times New Roman" w:hAnsi="Times New Roman" w:cs="Times New Roman"/>
          <w:sz w:val="24"/>
          <w:szCs w:val="24"/>
        </w:rPr>
        <w:t>0</w:t>
      </w:r>
      <w:r w:rsidR="00BC48A4" w:rsidRPr="007917A1">
        <w:rPr>
          <w:rFonts w:ascii="Times New Roman" w:hAnsi="Times New Roman" w:cs="Times New Roman"/>
          <w:sz w:val="24"/>
          <w:szCs w:val="24"/>
        </w:rPr>
        <w:t xml:space="preserve">.2018 балансовая стоимость всех видов недвижимых активов </w:t>
      </w:r>
      <w:r w:rsidR="00CE40AB" w:rsidRPr="007917A1">
        <w:rPr>
          <w:rFonts w:ascii="Times New Roman" w:hAnsi="Times New Roman" w:cs="Times New Roman"/>
          <w:sz w:val="24"/>
          <w:szCs w:val="24"/>
        </w:rPr>
        <w:t xml:space="preserve">приведенных выше категорий в </w:t>
      </w:r>
      <w:r w:rsidR="00BC48A4" w:rsidRPr="007917A1">
        <w:rPr>
          <w:rFonts w:ascii="Times New Roman" w:hAnsi="Times New Roman" w:cs="Times New Roman"/>
          <w:sz w:val="24"/>
          <w:szCs w:val="24"/>
        </w:rPr>
        <w:t>банковской систем</w:t>
      </w:r>
      <w:r w:rsidR="00CE40AB" w:rsidRPr="007917A1">
        <w:rPr>
          <w:rFonts w:ascii="Times New Roman" w:hAnsi="Times New Roman" w:cs="Times New Roman"/>
          <w:sz w:val="24"/>
          <w:szCs w:val="24"/>
        </w:rPr>
        <w:t>е</w:t>
      </w:r>
      <w:r w:rsidR="00BC48A4" w:rsidRPr="007917A1">
        <w:rPr>
          <w:rFonts w:ascii="Times New Roman" w:hAnsi="Times New Roman" w:cs="Times New Roman"/>
          <w:sz w:val="24"/>
          <w:szCs w:val="24"/>
        </w:rPr>
        <w:t xml:space="preserve"> РФ (оцененн</w:t>
      </w:r>
      <w:r w:rsidR="00A51D63" w:rsidRPr="007917A1">
        <w:rPr>
          <w:rFonts w:ascii="Times New Roman" w:hAnsi="Times New Roman" w:cs="Times New Roman"/>
          <w:sz w:val="24"/>
          <w:szCs w:val="24"/>
        </w:rPr>
        <w:t>ых</w:t>
      </w:r>
      <w:r w:rsidR="00BC48A4" w:rsidRPr="007917A1">
        <w:rPr>
          <w:rFonts w:ascii="Times New Roman" w:hAnsi="Times New Roman" w:cs="Times New Roman"/>
          <w:sz w:val="24"/>
          <w:szCs w:val="24"/>
        </w:rPr>
        <w:t xml:space="preserve"> по справедливой стоимости</w:t>
      </w:r>
      <w:r w:rsidR="00DF624A" w:rsidRPr="007917A1">
        <w:rPr>
          <w:rFonts w:ascii="Times New Roman" w:hAnsi="Times New Roman" w:cs="Times New Roman"/>
          <w:sz w:val="24"/>
          <w:szCs w:val="24"/>
        </w:rPr>
        <w:t xml:space="preserve"> в соответствии с </w:t>
      </w:r>
      <w:r w:rsidR="00BD797F" w:rsidRPr="007917A1">
        <w:rPr>
          <w:rFonts w:ascii="Times New Roman" w:hAnsi="Times New Roman" w:cs="Times New Roman"/>
          <w:sz w:val="24"/>
          <w:szCs w:val="24"/>
        </w:rPr>
        <w:t>ПБУ</w:t>
      </w:r>
      <w:r w:rsidR="00BC48A4" w:rsidRPr="007917A1">
        <w:rPr>
          <w:rFonts w:ascii="Times New Roman" w:hAnsi="Times New Roman" w:cs="Times New Roman"/>
          <w:sz w:val="24"/>
          <w:szCs w:val="24"/>
        </w:rPr>
        <w:t xml:space="preserve">) составляла </w:t>
      </w:r>
      <w:r w:rsidR="0020362A" w:rsidRPr="007917A1">
        <w:rPr>
          <w:rFonts w:ascii="Times New Roman" w:hAnsi="Times New Roman" w:cs="Times New Roman"/>
          <w:sz w:val="24"/>
          <w:szCs w:val="24"/>
        </w:rPr>
        <w:t xml:space="preserve">1,33 </w:t>
      </w:r>
      <w:r w:rsidR="00A51D63" w:rsidRPr="007917A1">
        <w:rPr>
          <w:rFonts w:ascii="Times New Roman" w:hAnsi="Times New Roman" w:cs="Times New Roman"/>
          <w:sz w:val="24"/>
          <w:szCs w:val="24"/>
        </w:rPr>
        <w:t>трлн</w:t>
      </w:r>
      <w:r w:rsidR="0020362A" w:rsidRPr="007917A1">
        <w:rPr>
          <w:rFonts w:ascii="Times New Roman" w:hAnsi="Times New Roman" w:cs="Times New Roman"/>
          <w:sz w:val="24"/>
          <w:szCs w:val="24"/>
        </w:rPr>
        <w:t xml:space="preserve"> </w:t>
      </w:r>
      <w:r w:rsidR="00A51D63" w:rsidRPr="007917A1">
        <w:rPr>
          <w:rFonts w:ascii="Times New Roman" w:hAnsi="Times New Roman" w:cs="Times New Roman"/>
          <w:sz w:val="24"/>
          <w:szCs w:val="24"/>
        </w:rPr>
        <w:t>руб., что составляло долю в 1,2</w:t>
      </w:r>
      <w:r w:rsidR="00F11211" w:rsidRPr="007917A1">
        <w:rPr>
          <w:rFonts w:ascii="Times New Roman" w:hAnsi="Times New Roman" w:cs="Times New Roman"/>
          <w:sz w:val="24"/>
          <w:szCs w:val="24"/>
        </w:rPr>
        <w:t>7</w:t>
      </w:r>
      <w:r w:rsidR="00A51D63" w:rsidRPr="007917A1">
        <w:rPr>
          <w:rFonts w:ascii="Times New Roman" w:hAnsi="Times New Roman" w:cs="Times New Roman"/>
          <w:sz w:val="24"/>
          <w:szCs w:val="24"/>
        </w:rPr>
        <w:t xml:space="preserve">% от балансовой стоимости всех активов российских банков. Данная величина и указанная доля являются весьма устойчивыми </w:t>
      </w:r>
      <w:r w:rsidR="007944D5" w:rsidRPr="007917A1">
        <w:rPr>
          <w:rFonts w:ascii="Times New Roman" w:hAnsi="Times New Roman" w:cs="Times New Roman"/>
          <w:sz w:val="24"/>
          <w:szCs w:val="24"/>
        </w:rPr>
        <w:t>показателями</w:t>
      </w:r>
      <w:r w:rsidR="00A51D63" w:rsidRPr="007917A1">
        <w:rPr>
          <w:rFonts w:ascii="Times New Roman" w:hAnsi="Times New Roman" w:cs="Times New Roman"/>
          <w:sz w:val="24"/>
          <w:szCs w:val="24"/>
        </w:rPr>
        <w:t xml:space="preserve"> за </w:t>
      </w:r>
      <w:r w:rsidR="007944D5" w:rsidRPr="007917A1">
        <w:rPr>
          <w:rFonts w:ascii="Times New Roman" w:hAnsi="Times New Roman" w:cs="Times New Roman"/>
          <w:sz w:val="24"/>
          <w:szCs w:val="24"/>
        </w:rPr>
        <w:t xml:space="preserve">исследованный </w:t>
      </w:r>
      <w:r w:rsidR="00A51D63" w:rsidRPr="007917A1">
        <w:rPr>
          <w:rFonts w:ascii="Times New Roman" w:hAnsi="Times New Roman" w:cs="Times New Roman"/>
          <w:sz w:val="24"/>
          <w:szCs w:val="24"/>
        </w:rPr>
        <w:t xml:space="preserve">период </w:t>
      </w:r>
      <w:r w:rsidR="00F11211" w:rsidRPr="007917A1">
        <w:rPr>
          <w:rFonts w:ascii="Times New Roman" w:hAnsi="Times New Roman" w:cs="Times New Roman"/>
          <w:sz w:val="24"/>
          <w:szCs w:val="24"/>
        </w:rPr>
        <w:t>11</w:t>
      </w:r>
      <w:r w:rsidR="00A51D63" w:rsidRPr="007917A1">
        <w:rPr>
          <w:rFonts w:ascii="Times New Roman" w:hAnsi="Times New Roman" w:cs="Times New Roman"/>
          <w:sz w:val="24"/>
          <w:szCs w:val="24"/>
        </w:rPr>
        <w:t xml:space="preserve"> кварталов (2016-201</w:t>
      </w:r>
      <w:r w:rsidR="00F11211" w:rsidRPr="007917A1">
        <w:rPr>
          <w:rFonts w:ascii="Times New Roman" w:hAnsi="Times New Roman" w:cs="Times New Roman"/>
          <w:sz w:val="24"/>
          <w:szCs w:val="24"/>
        </w:rPr>
        <w:t>8</w:t>
      </w:r>
      <w:r w:rsidR="00A51D63" w:rsidRPr="007917A1">
        <w:rPr>
          <w:rFonts w:ascii="Times New Roman" w:hAnsi="Times New Roman" w:cs="Times New Roman"/>
          <w:sz w:val="24"/>
          <w:szCs w:val="24"/>
        </w:rPr>
        <w:t xml:space="preserve"> гг.). Разброс стоимости в динамике составлял от </w:t>
      </w:r>
      <w:r w:rsidR="00E806D9" w:rsidRPr="007917A1">
        <w:rPr>
          <w:rFonts w:ascii="Times New Roman" w:hAnsi="Times New Roman" w:cs="Times New Roman"/>
          <w:sz w:val="24"/>
          <w:szCs w:val="24"/>
        </w:rPr>
        <w:t>1,04 до 1,</w:t>
      </w:r>
      <w:r w:rsidR="00F11211" w:rsidRPr="007917A1">
        <w:rPr>
          <w:rFonts w:ascii="Times New Roman" w:hAnsi="Times New Roman" w:cs="Times New Roman"/>
          <w:sz w:val="24"/>
          <w:szCs w:val="24"/>
        </w:rPr>
        <w:t>13</w:t>
      </w:r>
      <w:r w:rsidR="00E806D9" w:rsidRPr="007917A1">
        <w:rPr>
          <w:rFonts w:ascii="Times New Roman" w:hAnsi="Times New Roman" w:cs="Times New Roman"/>
          <w:sz w:val="24"/>
          <w:szCs w:val="24"/>
        </w:rPr>
        <w:t xml:space="preserve"> трлн.руб., доля – 1,2</w:t>
      </w:r>
      <w:r w:rsidR="007B0CE9" w:rsidRPr="007917A1">
        <w:rPr>
          <w:rFonts w:ascii="Times New Roman" w:hAnsi="Times New Roman" w:cs="Times New Roman"/>
          <w:sz w:val="24"/>
          <w:szCs w:val="24"/>
        </w:rPr>
        <w:t>4</w:t>
      </w:r>
      <w:r w:rsidR="00E806D9" w:rsidRPr="007917A1">
        <w:rPr>
          <w:rFonts w:ascii="Times New Roman" w:hAnsi="Times New Roman" w:cs="Times New Roman"/>
          <w:sz w:val="24"/>
          <w:szCs w:val="24"/>
        </w:rPr>
        <w:t>-1,3</w:t>
      </w:r>
      <w:r w:rsidR="007944D5" w:rsidRPr="007917A1">
        <w:rPr>
          <w:rFonts w:ascii="Times New Roman" w:hAnsi="Times New Roman" w:cs="Times New Roman"/>
          <w:sz w:val="24"/>
          <w:szCs w:val="24"/>
        </w:rPr>
        <w:t>3</w:t>
      </w:r>
      <w:r w:rsidR="00E806D9" w:rsidRPr="007917A1">
        <w:rPr>
          <w:rFonts w:ascii="Times New Roman" w:hAnsi="Times New Roman" w:cs="Times New Roman"/>
          <w:sz w:val="24"/>
          <w:szCs w:val="24"/>
        </w:rPr>
        <w:t>%</w:t>
      </w:r>
      <w:r w:rsidR="004E5964" w:rsidRPr="007917A1">
        <w:rPr>
          <w:rFonts w:ascii="Times New Roman" w:hAnsi="Times New Roman" w:cs="Times New Roman"/>
          <w:sz w:val="24"/>
          <w:szCs w:val="24"/>
        </w:rPr>
        <w:t xml:space="preserve"> </w:t>
      </w:r>
      <w:r w:rsidR="00C16EEC" w:rsidRPr="007917A1">
        <w:rPr>
          <w:rFonts w:ascii="Times New Roman" w:hAnsi="Times New Roman" w:cs="Times New Roman"/>
          <w:sz w:val="24"/>
          <w:szCs w:val="24"/>
        </w:rPr>
        <w:t>(</w:t>
      </w:r>
      <w:r w:rsidR="007944D5" w:rsidRPr="007917A1">
        <w:rPr>
          <w:rFonts w:ascii="Times New Roman" w:hAnsi="Times New Roman" w:cs="Times New Roman"/>
          <w:sz w:val="24"/>
          <w:szCs w:val="24"/>
        </w:rPr>
        <w:t>немонотонные колебания этого показателя связаны, вероятно, не столько с приходом/выбытием недвижимых активов, сколько с обычной практикой их переоценки</w:t>
      </w:r>
      <w:r w:rsidR="00641A8B" w:rsidRPr="007917A1">
        <w:rPr>
          <w:rFonts w:ascii="Times New Roman" w:hAnsi="Times New Roman" w:cs="Times New Roman"/>
          <w:sz w:val="24"/>
          <w:szCs w:val="24"/>
        </w:rPr>
        <w:t>, о чем подробнее будет ска</w:t>
      </w:r>
      <w:r w:rsidR="0012571C" w:rsidRPr="007917A1">
        <w:rPr>
          <w:rFonts w:ascii="Times New Roman" w:hAnsi="Times New Roman" w:cs="Times New Roman"/>
          <w:sz w:val="24"/>
          <w:szCs w:val="24"/>
        </w:rPr>
        <w:t>зано ниже</w:t>
      </w:r>
      <w:r w:rsidR="00C16EEC" w:rsidRPr="007917A1">
        <w:rPr>
          <w:rFonts w:ascii="Times New Roman" w:hAnsi="Times New Roman" w:cs="Times New Roman"/>
          <w:sz w:val="24"/>
          <w:szCs w:val="24"/>
        </w:rPr>
        <w:t>)</w:t>
      </w:r>
      <w:r w:rsidR="004E5964" w:rsidRPr="007917A1">
        <w:rPr>
          <w:rFonts w:ascii="Times New Roman" w:hAnsi="Times New Roman" w:cs="Times New Roman"/>
          <w:sz w:val="24"/>
          <w:szCs w:val="24"/>
        </w:rPr>
        <w:t>.</w:t>
      </w:r>
      <w:r w:rsidR="002E3123" w:rsidRPr="007917A1">
        <w:rPr>
          <w:rFonts w:ascii="Times New Roman" w:hAnsi="Times New Roman" w:cs="Times New Roman"/>
          <w:sz w:val="24"/>
          <w:szCs w:val="24"/>
        </w:rPr>
        <w:t xml:space="preserve"> Примечательно</w:t>
      </w:r>
      <w:r w:rsidR="00EE4F81" w:rsidRPr="007917A1">
        <w:rPr>
          <w:rFonts w:ascii="Times New Roman" w:hAnsi="Times New Roman" w:cs="Times New Roman"/>
          <w:sz w:val="24"/>
          <w:szCs w:val="24"/>
        </w:rPr>
        <w:t xml:space="preserve"> также</w:t>
      </w:r>
      <w:r w:rsidR="002E3123" w:rsidRPr="007917A1">
        <w:rPr>
          <w:rFonts w:ascii="Times New Roman" w:hAnsi="Times New Roman" w:cs="Times New Roman"/>
          <w:sz w:val="24"/>
          <w:szCs w:val="24"/>
        </w:rPr>
        <w:t xml:space="preserve">, что </w:t>
      </w:r>
      <w:r w:rsidR="00E52915" w:rsidRPr="007917A1">
        <w:rPr>
          <w:rFonts w:ascii="Times New Roman" w:hAnsi="Times New Roman" w:cs="Times New Roman"/>
          <w:sz w:val="24"/>
          <w:szCs w:val="24"/>
        </w:rPr>
        <w:t xml:space="preserve">абсолютный </w:t>
      </w:r>
      <w:r w:rsidR="00EE4F81" w:rsidRPr="007917A1">
        <w:rPr>
          <w:rFonts w:ascii="Times New Roman" w:hAnsi="Times New Roman" w:cs="Times New Roman"/>
          <w:sz w:val="24"/>
          <w:szCs w:val="24"/>
        </w:rPr>
        <w:t xml:space="preserve">показатель балансовой стоимости </w:t>
      </w:r>
      <w:r w:rsidR="00E52915" w:rsidRPr="007917A1">
        <w:rPr>
          <w:rFonts w:ascii="Times New Roman" w:hAnsi="Times New Roman" w:cs="Times New Roman"/>
          <w:sz w:val="24"/>
          <w:szCs w:val="24"/>
        </w:rPr>
        <w:t>недвижимых активов банковской системы не только не снижал</w:t>
      </w:r>
      <w:r w:rsidR="00EE4F81" w:rsidRPr="007917A1">
        <w:rPr>
          <w:rFonts w:ascii="Times New Roman" w:hAnsi="Times New Roman" w:cs="Times New Roman"/>
          <w:sz w:val="24"/>
          <w:szCs w:val="24"/>
        </w:rPr>
        <w:t>ся</w:t>
      </w:r>
      <w:r w:rsidR="00E52915" w:rsidRPr="007917A1">
        <w:rPr>
          <w:rFonts w:ascii="Times New Roman" w:hAnsi="Times New Roman" w:cs="Times New Roman"/>
          <w:sz w:val="24"/>
          <w:szCs w:val="24"/>
        </w:rPr>
        <w:t xml:space="preserve"> с уменьшением числа </w:t>
      </w:r>
      <w:r w:rsidR="00EE4F81" w:rsidRPr="007917A1">
        <w:rPr>
          <w:rFonts w:ascii="Times New Roman" w:hAnsi="Times New Roman" w:cs="Times New Roman"/>
          <w:sz w:val="24"/>
          <w:szCs w:val="24"/>
        </w:rPr>
        <w:t>кредитных организаций</w:t>
      </w:r>
      <w:r w:rsidR="00E52915" w:rsidRPr="007917A1">
        <w:rPr>
          <w:rFonts w:ascii="Times New Roman" w:hAnsi="Times New Roman" w:cs="Times New Roman"/>
          <w:sz w:val="24"/>
          <w:szCs w:val="24"/>
        </w:rPr>
        <w:t xml:space="preserve"> </w:t>
      </w:r>
      <w:r w:rsidR="00EE4F81" w:rsidRPr="007917A1">
        <w:rPr>
          <w:rFonts w:ascii="Times New Roman" w:hAnsi="Times New Roman" w:cs="Times New Roman"/>
          <w:sz w:val="24"/>
          <w:szCs w:val="24"/>
        </w:rPr>
        <w:t xml:space="preserve">в банковской системе, но даже увеличился примерно приблизительно на </w:t>
      </w:r>
      <w:r w:rsidR="00F11211" w:rsidRPr="007917A1">
        <w:rPr>
          <w:rFonts w:ascii="Times New Roman" w:hAnsi="Times New Roman" w:cs="Times New Roman"/>
          <w:sz w:val="24"/>
          <w:szCs w:val="24"/>
        </w:rPr>
        <w:t>97</w:t>
      </w:r>
      <w:r w:rsidR="00EE4F81" w:rsidRPr="007917A1">
        <w:rPr>
          <w:rFonts w:ascii="Times New Roman" w:hAnsi="Times New Roman" w:cs="Times New Roman"/>
          <w:sz w:val="24"/>
          <w:szCs w:val="24"/>
        </w:rPr>
        <w:t xml:space="preserve"> млрд руб. за аналогичный период, что указывает на то, </w:t>
      </w:r>
      <w:r w:rsidR="00EE4F81" w:rsidRPr="007917A1">
        <w:rPr>
          <w:rFonts w:ascii="Times New Roman" w:hAnsi="Times New Roman" w:cs="Times New Roman"/>
          <w:sz w:val="24"/>
          <w:szCs w:val="24"/>
        </w:rPr>
        <w:lastRenderedPageBreak/>
        <w:t>что при консолидации банковского сектора недвижимость как класс активов имеет тенденцию к концентрации у меньшего количества кредитных организаций.</w:t>
      </w:r>
    </w:p>
    <w:p w:rsidR="000E73E2" w:rsidRPr="007917A1" w:rsidRDefault="000E73E2" w:rsidP="000E73E2">
      <w:pPr>
        <w:keepNext/>
        <w:spacing w:line="360" w:lineRule="auto"/>
        <w:contextualSpacing/>
        <w:jc w:val="both"/>
        <w:rPr>
          <w:rFonts w:ascii="Times New Roman" w:eastAsia="Times New Roman" w:hAnsi="Times New Roman" w:cs="Times New Roman"/>
          <w:b/>
          <w:i/>
          <w:sz w:val="24"/>
          <w:szCs w:val="24"/>
          <w:lang w:eastAsia="ru-RU"/>
        </w:rPr>
      </w:pPr>
      <w:r w:rsidRPr="007917A1">
        <w:rPr>
          <w:rFonts w:ascii="Times New Roman" w:eastAsia="Times New Roman" w:hAnsi="Times New Roman" w:cs="Times New Roman"/>
          <w:b/>
          <w:i/>
          <w:sz w:val="24"/>
          <w:szCs w:val="24"/>
          <w:lang w:eastAsia="ru-RU"/>
        </w:rPr>
        <w:t xml:space="preserve">Рисунок </w:t>
      </w:r>
      <w:r w:rsidRPr="007917A1">
        <w:rPr>
          <w:rFonts w:ascii="Times New Roman" w:eastAsia="Times New Roman" w:hAnsi="Times New Roman" w:cs="Times New Roman"/>
          <w:b/>
          <w:i/>
          <w:sz w:val="24"/>
          <w:szCs w:val="24"/>
          <w:lang w:eastAsia="ru-RU"/>
        </w:rPr>
        <w:fldChar w:fldCharType="begin"/>
      </w:r>
      <w:r w:rsidRPr="007917A1">
        <w:rPr>
          <w:rFonts w:ascii="Times New Roman" w:eastAsia="Times New Roman" w:hAnsi="Times New Roman" w:cs="Times New Roman"/>
          <w:b/>
          <w:i/>
          <w:sz w:val="24"/>
          <w:szCs w:val="24"/>
          <w:lang w:eastAsia="ru-RU"/>
        </w:rPr>
        <w:instrText xml:space="preserve"> SEQ Рисунок \* ARABIC </w:instrText>
      </w:r>
      <w:r w:rsidRPr="007917A1">
        <w:rPr>
          <w:rFonts w:ascii="Times New Roman" w:eastAsia="Times New Roman" w:hAnsi="Times New Roman" w:cs="Times New Roman"/>
          <w:b/>
          <w:i/>
          <w:sz w:val="24"/>
          <w:szCs w:val="24"/>
          <w:lang w:eastAsia="ru-RU"/>
        </w:rPr>
        <w:fldChar w:fldCharType="separate"/>
      </w:r>
      <w:r w:rsidR="00F51716" w:rsidRPr="007917A1">
        <w:rPr>
          <w:rFonts w:ascii="Times New Roman" w:eastAsia="Times New Roman" w:hAnsi="Times New Roman" w:cs="Times New Roman"/>
          <w:b/>
          <w:i/>
          <w:noProof/>
          <w:sz w:val="24"/>
          <w:szCs w:val="24"/>
          <w:lang w:eastAsia="ru-RU"/>
        </w:rPr>
        <w:t>2</w:t>
      </w:r>
      <w:r w:rsidRPr="007917A1">
        <w:rPr>
          <w:rFonts w:ascii="Times New Roman" w:eastAsia="Times New Roman" w:hAnsi="Times New Roman" w:cs="Times New Roman"/>
          <w:b/>
          <w:i/>
          <w:sz w:val="24"/>
          <w:szCs w:val="24"/>
          <w:lang w:eastAsia="ru-RU"/>
        </w:rPr>
        <w:fldChar w:fldCharType="end"/>
      </w:r>
      <w:r w:rsidRPr="007917A1">
        <w:rPr>
          <w:rFonts w:ascii="Times New Roman" w:eastAsia="Times New Roman" w:hAnsi="Times New Roman" w:cs="Times New Roman"/>
          <w:b/>
          <w:i/>
          <w:sz w:val="24"/>
          <w:szCs w:val="24"/>
          <w:lang w:eastAsia="ru-RU"/>
        </w:rPr>
        <w:t>.</w:t>
      </w:r>
    </w:p>
    <w:p w:rsidR="000E73E2" w:rsidRPr="007917A1" w:rsidRDefault="000E222A" w:rsidP="000E73E2">
      <w:pPr>
        <w:spacing w:line="360" w:lineRule="auto"/>
        <w:contextualSpacing/>
        <w:jc w:val="both"/>
        <w:rPr>
          <w:rFonts w:ascii="Times New Roman" w:hAnsi="Times New Roman" w:cs="Times New Roman"/>
          <w:b/>
          <w:sz w:val="28"/>
          <w:szCs w:val="28"/>
        </w:rPr>
      </w:pPr>
      <w:r w:rsidRPr="007917A1">
        <w:rPr>
          <w:rFonts w:ascii="Times New Roman" w:eastAsia="Times New Roman" w:hAnsi="Times New Roman" w:cs="Times New Roman"/>
          <w:b/>
          <w:sz w:val="24"/>
          <w:szCs w:val="24"/>
          <w:lang w:eastAsia="ru-RU"/>
        </w:rPr>
        <w:t xml:space="preserve">Структура балансовой стоимости недвижимости </w:t>
      </w:r>
      <w:r w:rsidR="00A01183" w:rsidRPr="007917A1">
        <w:rPr>
          <w:rFonts w:ascii="Times New Roman" w:eastAsia="Times New Roman" w:hAnsi="Times New Roman" w:cs="Times New Roman"/>
          <w:b/>
          <w:sz w:val="24"/>
          <w:szCs w:val="24"/>
          <w:lang w:eastAsia="ru-RU"/>
        </w:rPr>
        <w:t xml:space="preserve">на балансах банков в </w:t>
      </w:r>
      <w:r w:rsidRPr="007917A1">
        <w:rPr>
          <w:rFonts w:ascii="Times New Roman" w:eastAsia="Times New Roman" w:hAnsi="Times New Roman" w:cs="Times New Roman"/>
          <w:b/>
          <w:sz w:val="24"/>
          <w:szCs w:val="24"/>
          <w:lang w:eastAsia="ru-RU"/>
        </w:rPr>
        <w:t>российской банк</w:t>
      </w:r>
      <w:r w:rsidR="00A01183" w:rsidRPr="007917A1">
        <w:rPr>
          <w:rFonts w:ascii="Times New Roman" w:eastAsia="Times New Roman" w:hAnsi="Times New Roman" w:cs="Times New Roman"/>
          <w:b/>
          <w:sz w:val="24"/>
          <w:szCs w:val="24"/>
          <w:lang w:eastAsia="ru-RU"/>
        </w:rPr>
        <w:t>овской системе</w:t>
      </w:r>
      <w:r w:rsidR="000E73E2" w:rsidRPr="007917A1" w:rsidDel="00CE40AB">
        <w:rPr>
          <w:rFonts w:ascii="Times New Roman" w:hAnsi="Times New Roman" w:cs="Times New Roman"/>
          <w:b/>
          <w:sz w:val="24"/>
          <w:szCs w:val="24"/>
        </w:rPr>
        <w:t xml:space="preserve"> </w:t>
      </w:r>
      <w:r w:rsidR="001B75C2" w:rsidRPr="007917A1">
        <w:rPr>
          <w:rFonts w:ascii="Times New Roman" w:hAnsi="Times New Roman" w:cs="Times New Roman"/>
          <w:b/>
          <w:sz w:val="24"/>
          <w:szCs w:val="24"/>
        </w:rPr>
        <w:t>по состоянию на 01.10.2018</w:t>
      </w:r>
      <w:r w:rsidR="00A01183" w:rsidRPr="007917A1">
        <w:rPr>
          <w:rFonts w:ascii="Times New Roman" w:hAnsi="Times New Roman" w:cs="Times New Roman"/>
          <w:b/>
          <w:sz w:val="24"/>
          <w:szCs w:val="24"/>
        </w:rPr>
        <w:t>, млрд руб.</w:t>
      </w:r>
    </w:p>
    <w:p w:rsidR="000E73E2" w:rsidRPr="007917A1" w:rsidRDefault="00A01183" w:rsidP="004B41CB">
      <w:pPr>
        <w:spacing w:line="360" w:lineRule="auto"/>
        <w:contextualSpacing/>
        <w:jc w:val="both"/>
        <w:rPr>
          <w:rFonts w:ascii="Times New Roman" w:hAnsi="Times New Roman" w:cs="Times New Roman"/>
          <w:sz w:val="24"/>
          <w:szCs w:val="24"/>
          <w:lang w:val="en-US"/>
        </w:rPr>
      </w:pPr>
      <w:r w:rsidRPr="007917A1">
        <w:rPr>
          <w:rFonts w:ascii="Times New Roman" w:hAnsi="Times New Roman" w:cs="Times New Roman"/>
          <w:noProof/>
          <w:sz w:val="24"/>
          <w:szCs w:val="24"/>
          <w:lang w:eastAsia="ru-RU"/>
        </w:rPr>
        <w:drawing>
          <wp:inline distT="0" distB="0" distL="0" distR="0" wp14:anchorId="572FBD55" wp14:editId="5D7F51ED">
            <wp:extent cx="5918200" cy="3335866"/>
            <wp:effectExtent l="0" t="0" r="25400" b="1714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49F6" w:rsidRPr="007917A1" w:rsidRDefault="00DE49F6" w:rsidP="004B41CB">
      <w:pPr>
        <w:spacing w:line="360" w:lineRule="auto"/>
        <w:contextualSpacing/>
        <w:jc w:val="both"/>
        <w:rPr>
          <w:rFonts w:ascii="Times New Roman" w:hAnsi="Times New Roman" w:cs="Times New Roman"/>
          <w:i/>
          <w:sz w:val="20"/>
          <w:szCs w:val="20"/>
        </w:rPr>
      </w:pPr>
      <w:r w:rsidRPr="007917A1">
        <w:rPr>
          <w:rFonts w:ascii="Times New Roman" w:hAnsi="Times New Roman" w:cs="Times New Roman"/>
          <w:i/>
          <w:sz w:val="20"/>
          <w:szCs w:val="20"/>
        </w:rPr>
        <w:t>Источник: расчёты авторов</w:t>
      </w:r>
      <w:r w:rsidR="00FA3583" w:rsidRPr="007917A1">
        <w:rPr>
          <w:rFonts w:ascii="Times New Roman" w:hAnsi="Times New Roman" w:cs="Times New Roman"/>
          <w:i/>
          <w:sz w:val="20"/>
          <w:szCs w:val="20"/>
        </w:rPr>
        <w:t xml:space="preserve"> по данным Банка России</w:t>
      </w:r>
    </w:p>
    <w:p w:rsidR="00C16EEC" w:rsidRPr="007917A1" w:rsidRDefault="00283FC0" w:rsidP="004E5964">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 xml:space="preserve">Балансовая стоимость недвижимости на счете основных средств (земля, здания, сооружения и др.) в структуре недвижимых активов банковской системы РФ составляет </w:t>
      </w:r>
      <w:r w:rsidR="003F3105" w:rsidRPr="007917A1">
        <w:rPr>
          <w:rFonts w:ascii="Times New Roman" w:hAnsi="Times New Roman" w:cs="Times New Roman"/>
          <w:sz w:val="24"/>
          <w:szCs w:val="24"/>
        </w:rPr>
        <w:t>по оценкам авторов</w:t>
      </w:r>
      <w:r w:rsidRPr="007917A1">
        <w:rPr>
          <w:rFonts w:ascii="Times New Roman" w:hAnsi="Times New Roman" w:cs="Times New Roman"/>
          <w:sz w:val="24"/>
          <w:szCs w:val="24"/>
        </w:rPr>
        <w:t xml:space="preserve"> 8</w:t>
      </w:r>
      <w:r w:rsidR="00F11211" w:rsidRPr="007917A1">
        <w:rPr>
          <w:rFonts w:ascii="Times New Roman" w:hAnsi="Times New Roman" w:cs="Times New Roman"/>
          <w:sz w:val="24"/>
          <w:szCs w:val="24"/>
        </w:rPr>
        <w:t>33</w:t>
      </w:r>
      <w:r w:rsidR="00197499" w:rsidRPr="007917A1">
        <w:rPr>
          <w:rFonts w:ascii="Times New Roman" w:hAnsi="Times New Roman" w:cs="Times New Roman"/>
          <w:sz w:val="24"/>
          <w:szCs w:val="24"/>
        </w:rPr>
        <w:t>,</w:t>
      </w:r>
      <w:r w:rsidR="00F11211" w:rsidRPr="007917A1">
        <w:rPr>
          <w:rFonts w:ascii="Times New Roman" w:hAnsi="Times New Roman" w:cs="Times New Roman"/>
          <w:sz w:val="24"/>
          <w:szCs w:val="24"/>
        </w:rPr>
        <w:t>45</w:t>
      </w:r>
      <w:r w:rsidRPr="007917A1">
        <w:rPr>
          <w:rFonts w:ascii="Times New Roman" w:hAnsi="Times New Roman" w:cs="Times New Roman"/>
          <w:sz w:val="24"/>
          <w:szCs w:val="24"/>
        </w:rPr>
        <w:t xml:space="preserve"> </w:t>
      </w:r>
      <w:r w:rsidR="00FF1FEF" w:rsidRPr="007917A1">
        <w:rPr>
          <w:rFonts w:ascii="Times New Roman" w:hAnsi="Times New Roman" w:cs="Times New Roman"/>
          <w:sz w:val="24"/>
          <w:szCs w:val="24"/>
        </w:rPr>
        <w:t>млрд</w:t>
      </w:r>
      <w:r w:rsidR="00F11211" w:rsidRPr="007917A1">
        <w:rPr>
          <w:rFonts w:ascii="Times New Roman" w:hAnsi="Times New Roman" w:cs="Times New Roman"/>
          <w:sz w:val="24"/>
          <w:szCs w:val="24"/>
        </w:rPr>
        <w:t xml:space="preserve"> </w:t>
      </w:r>
      <w:proofErr w:type="spellStart"/>
      <w:r w:rsidRPr="007917A1">
        <w:rPr>
          <w:rFonts w:ascii="Times New Roman" w:hAnsi="Times New Roman" w:cs="Times New Roman"/>
          <w:sz w:val="24"/>
          <w:szCs w:val="24"/>
        </w:rPr>
        <w:t>руб</w:t>
      </w:r>
      <w:proofErr w:type="spellEnd"/>
      <w:r w:rsidR="00197499" w:rsidRPr="007917A1">
        <w:rPr>
          <w:rFonts w:ascii="Times New Roman" w:hAnsi="Times New Roman" w:cs="Times New Roman"/>
          <w:sz w:val="24"/>
          <w:szCs w:val="24"/>
        </w:rPr>
        <w:t xml:space="preserve"> (7</w:t>
      </w:r>
      <w:r w:rsidR="00F11211" w:rsidRPr="007917A1">
        <w:rPr>
          <w:rFonts w:ascii="Times New Roman" w:hAnsi="Times New Roman" w:cs="Times New Roman"/>
          <w:sz w:val="24"/>
          <w:szCs w:val="24"/>
        </w:rPr>
        <w:t>3</w:t>
      </w:r>
      <w:r w:rsidR="00197499" w:rsidRPr="007917A1">
        <w:rPr>
          <w:rFonts w:ascii="Times New Roman" w:hAnsi="Times New Roman" w:cs="Times New Roman"/>
          <w:sz w:val="24"/>
          <w:szCs w:val="24"/>
        </w:rPr>
        <w:t>,</w:t>
      </w:r>
      <w:r w:rsidR="00F11211" w:rsidRPr="007917A1">
        <w:rPr>
          <w:rFonts w:ascii="Times New Roman" w:hAnsi="Times New Roman" w:cs="Times New Roman"/>
          <w:sz w:val="24"/>
          <w:szCs w:val="24"/>
        </w:rPr>
        <w:t>5</w:t>
      </w:r>
      <w:r w:rsidR="00197499" w:rsidRPr="007917A1">
        <w:rPr>
          <w:rFonts w:ascii="Times New Roman" w:hAnsi="Times New Roman" w:cs="Times New Roman"/>
          <w:sz w:val="24"/>
          <w:szCs w:val="24"/>
        </w:rPr>
        <w:t>% от всей стоимости недвижимых активов)</w:t>
      </w:r>
      <w:r w:rsidRPr="007917A1">
        <w:rPr>
          <w:rFonts w:ascii="Times New Roman" w:hAnsi="Times New Roman" w:cs="Times New Roman"/>
          <w:sz w:val="24"/>
          <w:szCs w:val="24"/>
        </w:rPr>
        <w:t>, из них стоимость земли 1</w:t>
      </w:r>
      <w:r w:rsidR="00197499" w:rsidRPr="007917A1">
        <w:rPr>
          <w:rFonts w:ascii="Times New Roman" w:hAnsi="Times New Roman" w:cs="Times New Roman"/>
          <w:sz w:val="24"/>
          <w:szCs w:val="24"/>
        </w:rPr>
        <w:t>6,</w:t>
      </w:r>
      <w:r w:rsidR="00F11211" w:rsidRPr="007917A1">
        <w:rPr>
          <w:rFonts w:ascii="Times New Roman" w:hAnsi="Times New Roman" w:cs="Times New Roman"/>
          <w:sz w:val="24"/>
          <w:szCs w:val="24"/>
        </w:rPr>
        <w:t>55</w:t>
      </w:r>
      <w:r w:rsidR="00197499" w:rsidRPr="007917A1">
        <w:rPr>
          <w:rFonts w:ascii="Times New Roman" w:hAnsi="Times New Roman" w:cs="Times New Roman"/>
          <w:sz w:val="24"/>
          <w:szCs w:val="24"/>
        </w:rPr>
        <w:t xml:space="preserve"> </w:t>
      </w:r>
      <w:r w:rsidR="00F11211" w:rsidRPr="007917A1">
        <w:rPr>
          <w:rFonts w:ascii="Times New Roman" w:hAnsi="Times New Roman" w:cs="Times New Roman"/>
          <w:sz w:val="24"/>
          <w:szCs w:val="24"/>
        </w:rPr>
        <w:t xml:space="preserve">млрд </w:t>
      </w:r>
      <w:r w:rsidRPr="007917A1">
        <w:rPr>
          <w:rFonts w:ascii="Times New Roman" w:hAnsi="Times New Roman" w:cs="Times New Roman"/>
          <w:sz w:val="24"/>
          <w:szCs w:val="24"/>
        </w:rPr>
        <w:t>руб.</w:t>
      </w:r>
    </w:p>
    <w:p w:rsidR="00283FC0" w:rsidRPr="007917A1" w:rsidRDefault="00283FC0" w:rsidP="004E5964">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Балансовая стоимость недвижимости в составе долгос</w:t>
      </w:r>
      <w:r w:rsidR="00ED7834" w:rsidRPr="007917A1">
        <w:rPr>
          <w:rFonts w:ascii="Times New Roman" w:hAnsi="Times New Roman" w:cs="Times New Roman"/>
          <w:sz w:val="24"/>
          <w:szCs w:val="24"/>
        </w:rPr>
        <w:t>р</w:t>
      </w:r>
      <w:r w:rsidRPr="007917A1">
        <w:rPr>
          <w:rFonts w:ascii="Times New Roman" w:hAnsi="Times New Roman" w:cs="Times New Roman"/>
          <w:sz w:val="24"/>
          <w:szCs w:val="24"/>
        </w:rPr>
        <w:t xml:space="preserve">очных активов на продажу составляет округленно </w:t>
      </w:r>
      <w:r w:rsidR="00F11211" w:rsidRPr="007917A1">
        <w:rPr>
          <w:rFonts w:ascii="Times New Roman" w:hAnsi="Times New Roman" w:cs="Times New Roman"/>
          <w:sz w:val="24"/>
          <w:szCs w:val="24"/>
        </w:rPr>
        <w:t>62</w:t>
      </w:r>
      <w:r w:rsidR="00197499" w:rsidRPr="007917A1">
        <w:rPr>
          <w:rFonts w:ascii="Times New Roman" w:hAnsi="Times New Roman" w:cs="Times New Roman"/>
          <w:sz w:val="24"/>
          <w:szCs w:val="24"/>
        </w:rPr>
        <w:t>,</w:t>
      </w:r>
      <w:r w:rsidR="00F11211" w:rsidRPr="007917A1">
        <w:rPr>
          <w:rFonts w:ascii="Times New Roman" w:hAnsi="Times New Roman" w:cs="Times New Roman"/>
          <w:sz w:val="24"/>
          <w:szCs w:val="24"/>
        </w:rPr>
        <w:t>28</w:t>
      </w:r>
      <w:r w:rsidRPr="007917A1">
        <w:rPr>
          <w:rFonts w:ascii="Times New Roman" w:hAnsi="Times New Roman" w:cs="Times New Roman"/>
          <w:sz w:val="24"/>
          <w:szCs w:val="24"/>
        </w:rPr>
        <w:t xml:space="preserve"> </w:t>
      </w:r>
      <w:r w:rsidR="00FF1FEF" w:rsidRPr="007917A1">
        <w:rPr>
          <w:rFonts w:ascii="Times New Roman" w:hAnsi="Times New Roman" w:cs="Times New Roman"/>
          <w:sz w:val="24"/>
          <w:szCs w:val="24"/>
        </w:rPr>
        <w:t>млрд</w:t>
      </w:r>
      <w:r w:rsidR="00F11211" w:rsidRPr="007917A1">
        <w:rPr>
          <w:rFonts w:ascii="Times New Roman" w:hAnsi="Times New Roman" w:cs="Times New Roman"/>
          <w:sz w:val="24"/>
          <w:szCs w:val="24"/>
        </w:rPr>
        <w:t xml:space="preserve"> </w:t>
      </w:r>
      <w:r w:rsidRPr="007917A1">
        <w:rPr>
          <w:rFonts w:ascii="Times New Roman" w:hAnsi="Times New Roman" w:cs="Times New Roman"/>
          <w:sz w:val="24"/>
          <w:szCs w:val="24"/>
        </w:rPr>
        <w:t>руб.</w:t>
      </w:r>
      <w:r w:rsidR="00F11211" w:rsidRPr="007917A1">
        <w:rPr>
          <w:rFonts w:ascii="Times New Roman" w:hAnsi="Times New Roman" w:cs="Times New Roman"/>
          <w:sz w:val="24"/>
          <w:szCs w:val="24"/>
        </w:rPr>
        <w:t xml:space="preserve"> </w:t>
      </w:r>
      <w:r w:rsidR="00197499" w:rsidRPr="007917A1">
        <w:rPr>
          <w:rFonts w:ascii="Times New Roman" w:hAnsi="Times New Roman" w:cs="Times New Roman"/>
          <w:sz w:val="24"/>
          <w:szCs w:val="24"/>
        </w:rPr>
        <w:t>(</w:t>
      </w:r>
      <w:r w:rsidR="00F11211" w:rsidRPr="007917A1">
        <w:rPr>
          <w:rFonts w:ascii="Times New Roman" w:hAnsi="Times New Roman" w:cs="Times New Roman"/>
          <w:sz w:val="24"/>
          <w:szCs w:val="24"/>
        </w:rPr>
        <w:t>5</w:t>
      </w:r>
      <w:r w:rsidR="00197499" w:rsidRPr="007917A1">
        <w:rPr>
          <w:rFonts w:ascii="Times New Roman" w:hAnsi="Times New Roman" w:cs="Times New Roman"/>
          <w:sz w:val="24"/>
          <w:szCs w:val="24"/>
        </w:rPr>
        <w:t>,</w:t>
      </w:r>
      <w:r w:rsidR="00F11211" w:rsidRPr="007917A1">
        <w:rPr>
          <w:rFonts w:ascii="Times New Roman" w:hAnsi="Times New Roman" w:cs="Times New Roman"/>
          <w:sz w:val="24"/>
          <w:szCs w:val="24"/>
        </w:rPr>
        <w:t>4</w:t>
      </w:r>
      <w:r w:rsidR="00197499" w:rsidRPr="007917A1">
        <w:rPr>
          <w:rFonts w:ascii="Times New Roman" w:hAnsi="Times New Roman" w:cs="Times New Roman"/>
          <w:sz w:val="24"/>
          <w:szCs w:val="24"/>
        </w:rPr>
        <w:t>9% от всей стоимости недвижимых активов).</w:t>
      </w:r>
    </w:p>
    <w:p w:rsidR="00067245" w:rsidRPr="007917A1" w:rsidRDefault="00283FC0" w:rsidP="004E5964">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И, наконец, сам</w:t>
      </w:r>
      <w:r w:rsidR="00F73697" w:rsidRPr="007917A1">
        <w:rPr>
          <w:rFonts w:ascii="Times New Roman" w:hAnsi="Times New Roman" w:cs="Times New Roman"/>
          <w:sz w:val="24"/>
          <w:szCs w:val="24"/>
        </w:rPr>
        <w:t>ым</w:t>
      </w:r>
      <w:r w:rsidRPr="007917A1">
        <w:rPr>
          <w:rFonts w:ascii="Times New Roman" w:hAnsi="Times New Roman" w:cs="Times New Roman"/>
          <w:sz w:val="24"/>
          <w:szCs w:val="24"/>
        </w:rPr>
        <w:t xml:space="preserve"> </w:t>
      </w:r>
      <w:r w:rsidR="00F73697" w:rsidRPr="007917A1">
        <w:rPr>
          <w:rFonts w:ascii="Times New Roman" w:hAnsi="Times New Roman" w:cs="Times New Roman"/>
          <w:sz w:val="24"/>
          <w:szCs w:val="24"/>
        </w:rPr>
        <w:t xml:space="preserve">интересным подразделом </w:t>
      </w:r>
      <w:r w:rsidRPr="007917A1">
        <w:rPr>
          <w:rFonts w:ascii="Times New Roman" w:hAnsi="Times New Roman" w:cs="Times New Roman"/>
          <w:sz w:val="24"/>
          <w:szCs w:val="24"/>
        </w:rPr>
        <w:t>баланса (в части недвижимых активов) является недвижимость, временно неиспользуемая в основной деятельности</w:t>
      </w:r>
      <w:r w:rsidR="00F87FBA" w:rsidRPr="007917A1">
        <w:rPr>
          <w:rFonts w:ascii="Times New Roman" w:hAnsi="Times New Roman" w:cs="Times New Roman"/>
          <w:sz w:val="24"/>
          <w:szCs w:val="24"/>
        </w:rPr>
        <w:t xml:space="preserve"> (НВ</w:t>
      </w:r>
      <w:r w:rsidR="000424B1" w:rsidRPr="007917A1">
        <w:rPr>
          <w:rFonts w:ascii="Times New Roman" w:hAnsi="Times New Roman" w:cs="Times New Roman"/>
          <w:sz w:val="24"/>
          <w:szCs w:val="24"/>
        </w:rPr>
        <w:t>Н</w:t>
      </w:r>
      <w:r w:rsidR="00F87FBA" w:rsidRPr="007917A1">
        <w:rPr>
          <w:rFonts w:ascii="Times New Roman" w:hAnsi="Times New Roman" w:cs="Times New Roman"/>
          <w:sz w:val="24"/>
          <w:szCs w:val="24"/>
        </w:rPr>
        <w:t>ОД)</w:t>
      </w:r>
      <w:r w:rsidRPr="007917A1">
        <w:rPr>
          <w:rFonts w:ascii="Times New Roman" w:hAnsi="Times New Roman" w:cs="Times New Roman"/>
          <w:sz w:val="24"/>
          <w:szCs w:val="24"/>
        </w:rPr>
        <w:t xml:space="preserve">, «справедливая» стоимость которой </w:t>
      </w:r>
      <w:r w:rsidR="00197499" w:rsidRPr="007917A1">
        <w:rPr>
          <w:rFonts w:ascii="Times New Roman" w:hAnsi="Times New Roman" w:cs="Times New Roman"/>
          <w:sz w:val="24"/>
          <w:szCs w:val="24"/>
        </w:rPr>
        <w:t xml:space="preserve">составила </w:t>
      </w:r>
      <w:r w:rsidR="00F11211" w:rsidRPr="007917A1">
        <w:rPr>
          <w:rFonts w:ascii="Times New Roman" w:hAnsi="Times New Roman" w:cs="Times New Roman"/>
          <w:sz w:val="24"/>
          <w:szCs w:val="24"/>
        </w:rPr>
        <w:t>238</w:t>
      </w:r>
      <w:r w:rsidR="00197499" w:rsidRPr="007917A1">
        <w:rPr>
          <w:rFonts w:ascii="Times New Roman" w:hAnsi="Times New Roman" w:cs="Times New Roman"/>
          <w:sz w:val="24"/>
          <w:szCs w:val="24"/>
        </w:rPr>
        <w:t>,</w:t>
      </w:r>
      <w:r w:rsidR="00F11211" w:rsidRPr="007917A1">
        <w:rPr>
          <w:rFonts w:ascii="Times New Roman" w:hAnsi="Times New Roman" w:cs="Times New Roman"/>
          <w:sz w:val="24"/>
          <w:szCs w:val="24"/>
        </w:rPr>
        <w:t xml:space="preserve">16 </w:t>
      </w:r>
      <w:r w:rsidR="00FF1FEF" w:rsidRPr="007917A1">
        <w:rPr>
          <w:rFonts w:ascii="Times New Roman" w:hAnsi="Times New Roman" w:cs="Times New Roman"/>
          <w:sz w:val="24"/>
          <w:szCs w:val="24"/>
        </w:rPr>
        <w:t>млрд</w:t>
      </w:r>
      <w:r w:rsidR="00F11211" w:rsidRPr="007917A1">
        <w:rPr>
          <w:rFonts w:ascii="Times New Roman" w:hAnsi="Times New Roman" w:cs="Times New Roman"/>
          <w:sz w:val="24"/>
          <w:szCs w:val="24"/>
        </w:rPr>
        <w:t xml:space="preserve"> </w:t>
      </w:r>
      <w:r w:rsidR="00197499" w:rsidRPr="007917A1">
        <w:rPr>
          <w:rFonts w:ascii="Times New Roman" w:hAnsi="Times New Roman" w:cs="Times New Roman"/>
          <w:sz w:val="24"/>
          <w:szCs w:val="24"/>
        </w:rPr>
        <w:t>руб. (</w:t>
      </w:r>
      <w:r w:rsidR="00F11211" w:rsidRPr="007917A1">
        <w:rPr>
          <w:rFonts w:ascii="Times New Roman" w:hAnsi="Times New Roman" w:cs="Times New Roman"/>
          <w:sz w:val="24"/>
          <w:szCs w:val="24"/>
        </w:rPr>
        <w:t>2</w:t>
      </w:r>
      <w:r w:rsidR="00216613" w:rsidRPr="007917A1">
        <w:rPr>
          <w:rFonts w:ascii="Times New Roman" w:hAnsi="Times New Roman" w:cs="Times New Roman"/>
          <w:sz w:val="24"/>
          <w:szCs w:val="24"/>
        </w:rPr>
        <w:t>1</w:t>
      </w:r>
      <w:r w:rsidR="005A2B9F" w:rsidRPr="007917A1">
        <w:rPr>
          <w:rFonts w:ascii="Times New Roman" w:hAnsi="Times New Roman" w:cs="Times New Roman"/>
          <w:sz w:val="24"/>
          <w:szCs w:val="24"/>
        </w:rPr>
        <w:t>% от всей стоимости недвижимых активов)</w:t>
      </w:r>
      <w:r w:rsidR="00F11211" w:rsidRPr="007917A1">
        <w:rPr>
          <w:rFonts w:ascii="Times New Roman" w:hAnsi="Times New Roman" w:cs="Times New Roman"/>
          <w:sz w:val="24"/>
          <w:szCs w:val="24"/>
        </w:rPr>
        <w:t xml:space="preserve">, </w:t>
      </w:r>
      <w:r w:rsidR="007E7A6C" w:rsidRPr="007917A1">
        <w:rPr>
          <w:rFonts w:ascii="Times New Roman" w:hAnsi="Times New Roman" w:cs="Times New Roman"/>
          <w:sz w:val="24"/>
          <w:szCs w:val="24"/>
        </w:rPr>
        <w:t xml:space="preserve">на которые начислено </w:t>
      </w:r>
      <w:r w:rsidR="00067245" w:rsidRPr="007917A1">
        <w:rPr>
          <w:rFonts w:ascii="Times New Roman" w:hAnsi="Times New Roman" w:cs="Times New Roman"/>
          <w:sz w:val="24"/>
          <w:szCs w:val="24"/>
        </w:rPr>
        <w:t>6,4</w:t>
      </w:r>
      <w:r w:rsidR="00382794" w:rsidRPr="007917A1">
        <w:rPr>
          <w:rFonts w:ascii="Times New Roman" w:hAnsi="Times New Roman" w:cs="Times New Roman"/>
          <w:sz w:val="24"/>
          <w:szCs w:val="24"/>
        </w:rPr>
        <w:t>4</w:t>
      </w:r>
      <w:r w:rsidR="00067245" w:rsidRPr="007917A1">
        <w:rPr>
          <w:rFonts w:ascii="Times New Roman" w:hAnsi="Times New Roman" w:cs="Times New Roman"/>
          <w:sz w:val="24"/>
          <w:szCs w:val="24"/>
        </w:rPr>
        <w:t xml:space="preserve"> млрд</w:t>
      </w:r>
      <w:r w:rsidR="006B398A" w:rsidRPr="007917A1">
        <w:rPr>
          <w:rFonts w:ascii="Times New Roman" w:hAnsi="Times New Roman" w:cs="Times New Roman"/>
          <w:sz w:val="24"/>
          <w:szCs w:val="24"/>
        </w:rPr>
        <w:t xml:space="preserve"> </w:t>
      </w:r>
      <w:r w:rsidR="00067245" w:rsidRPr="007917A1">
        <w:rPr>
          <w:rFonts w:ascii="Times New Roman" w:hAnsi="Times New Roman" w:cs="Times New Roman"/>
          <w:sz w:val="24"/>
          <w:szCs w:val="24"/>
        </w:rPr>
        <w:t>руб. т.н. резервов на возможные потери</w:t>
      </w:r>
      <w:r w:rsidR="00382794" w:rsidRPr="007917A1">
        <w:rPr>
          <w:rFonts w:ascii="Times New Roman" w:hAnsi="Times New Roman" w:cs="Times New Roman"/>
          <w:sz w:val="24"/>
          <w:szCs w:val="24"/>
        </w:rPr>
        <w:t xml:space="preserve"> (2,71% от балансовой стоимости данной категории)</w:t>
      </w:r>
      <w:r w:rsidR="00067245" w:rsidRPr="007917A1">
        <w:rPr>
          <w:rFonts w:ascii="Times New Roman" w:hAnsi="Times New Roman" w:cs="Times New Roman"/>
          <w:sz w:val="24"/>
          <w:szCs w:val="24"/>
        </w:rPr>
        <w:t xml:space="preserve">. </w:t>
      </w:r>
    </w:p>
    <w:p w:rsidR="00283FC0" w:rsidRPr="007917A1" w:rsidRDefault="00D753EA"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 xml:space="preserve">Очевидно, что </w:t>
      </w:r>
      <w:r w:rsidR="00067245" w:rsidRPr="007917A1">
        <w:rPr>
          <w:rFonts w:ascii="Times New Roman" w:hAnsi="Times New Roman" w:cs="Times New Roman"/>
          <w:sz w:val="24"/>
          <w:szCs w:val="24"/>
        </w:rPr>
        <w:t>НВ</w:t>
      </w:r>
      <w:r w:rsidR="000424B1" w:rsidRPr="007917A1">
        <w:rPr>
          <w:rFonts w:ascii="Times New Roman" w:hAnsi="Times New Roman" w:cs="Times New Roman"/>
          <w:sz w:val="24"/>
          <w:szCs w:val="24"/>
        </w:rPr>
        <w:t>Н</w:t>
      </w:r>
      <w:r w:rsidR="00067245" w:rsidRPr="007917A1">
        <w:rPr>
          <w:rFonts w:ascii="Times New Roman" w:hAnsi="Times New Roman" w:cs="Times New Roman"/>
          <w:sz w:val="24"/>
          <w:szCs w:val="24"/>
        </w:rPr>
        <w:t>ОД</w:t>
      </w:r>
      <w:r w:rsidRPr="007917A1">
        <w:rPr>
          <w:rFonts w:ascii="Times New Roman" w:hAnsi="Times New Roman" w:cs="Times New Roman"/>
          <w:sz w:val="24"/>
          <w:szCs w:val="24"/>
        </w:rPr>
        <w:t xml:space="preserve"> </w:t>
      </w:r>
      <w:r w:rsidR="00067245" w:rsidRPr="007917A1">
        <w:rPr>
          <w:rFonts w:ascii="Times New Roman" w:hAnsi="Times New Roman" w:cs="Times New Roman"/>
          <w:sz w:val="24"/>
          <w:szCs w:val="24"/>
        </w:rPr>
        <w:t xml:space="preserve">большей частью </w:t>
      </w:r>
      <w:proofErr w:type="gramStart"/>
      <w:r w:rsidRPr="007917A1">
        <w:rPr>
          <w:rFonts w:ascii="Times New Roman" w:hAnsi="Times New Roman" w:cs="Times New Roman"/>
          <w:sz w:val="24"/>
          <w:szCs w:val="24"/>
        </w:rPr>
        <w:t xml:space="preserve">– </w:t>
      </w:r>
      <w:r w:rsidR="00BA2664" w:rsidRPr="007917A1">
        <w:rPr>
          <w:rFonts w:ascii="Times New Roman" w:hAnsi="Times New Roman" w:cs="Times New Roman"/>
          <w:sz w:val="24"/>
          <w:szCs w:val="24"/>
        </w:rPr>
        <w:t xml:space="preserve"> нереализованные</w:t>
      </w:r>
      <w:proofErr w:type="gramEnd"/>
      <w:r w:rsidR="007C02BF" w:rsidRPr="007917A1">
        <w:rPr>
          <w:rFonts w:ascii="Times New Roman" w:hAnsi="Times New Roman" w:cs="Times New Roman"/>
          <w:sz w:val="24"/>
          <w:szCs w:val="24"/>
        </w:rPr>
        <w:t xml:space="preserve"> </w:t>
      </w:r>
      <w:r w:rsidRPr="007917A1">
        <w:rPr>
          <w:rFonts w:ascii="Times New Roman" w:hAnsi="Times New Roman" w:cs="Times New Roman"/>
          <w:sz w:val="24"/>
          <w:szCs w:val="24"/>
        </w:rPr>
        <w:t xml:space="preserve">недвижимые </w:t>
      </w:r>
      <w:r w:rsidR="00BA2664" w:rsidRPr="007917A1">
        <w:rPr>
          <w:rFonts w:ascii="Times New Roman" w:hAnsi="Times New Roman" w:cs="Times New Roman"/>
          <w:sz w:val="24"/>
          <w:szCs w:val="24"/>
        </w:rPr>
        <w:t>объекты залога перешедшие на балансы банков в рамках урегулирования проблемной задолженности</w:t>
      </w:r>
      <w:r w:rsidR="007C02BF" w:rsidRPr="007917A1">
        <w:rPr>
          <w:rFonts w:ascii="Times New Roman" w:hAnsi="Times New Roman" w:cs="Times New Roman"/>
          <w:sz w:val="24"/>
          <w:szCs w:val="24"/>
        </w:rPr>
        <w:t>, которые не используются в операционной деятельности банков и являются экономическим обременением банковской системы.</w:t>
      </w:r>
      <w:r w:rsidRPr="007917A1">
        <w:rPr>
          <w:rFonts w:ascii="Times New Roman" w:hAnsi="Times New Roman" w:cs="Times New Roman"/>
          <w:sz w:val="24"/>
          <w:szCs w:val="24"/>
        </w:rPr>
        <w:t xml:space="preserve"> </w:t>
      </w:r>
      <w:r w:rsidR="000005EE" w:rsidRPr="007917A1">
        <w:rPr>
          <w:rFonts w:ascii="Times New Roman" w:hAnsi="Times New Roman" w:cs="Times New Roman"/>
          <w:sz w:val="24"/>
          <w:szCs w:val="24"/>
        </w:rPr>
        <w:t>В</w:t>
      </w:r>
      <w:r w:rsidR="00273E56" w:rsidRPr="007917A1">
        <w:rPr>
          <w:rFonts w:ascii="Times New Roman" w:hAnsi="Times New Roman" w:cs="Times New Roman"/>
          <w:sz w:val="24"/>
          <w:szCs w:val="24"/>
        </w:rPr>
        <w:t xml:space="preserve"> меньшей степени</w:t>
      </w:r>
      <w:r w:rsidR="000005EE" w:rsidRPr="007917A1">
        <w:rPr>
          <w:rFonts w:ascii="Times New Roman" w:hAnsi="Times New Roman" w:cs="Times New Roman"/>
          <w:sz w:val="24"/>
          <w:szCs w:val="24"/>
        </w:rPr>
        <w:t xml:space="preserve"> </w:t>
      </w:r>
      <w:r w:rsidR="00067245" w:rsidRPr="007917A1">
        <w:rPr>
          <w:rFonts w:ascii="Times New Roman" w:hAnsi="Times New Roman" w:cs="Times New Roman"/>
          <w:sz w:val="24"/>
          <w:szCs w:val="24"/>
        </w:rPr>
        <w:t>это</w:t>
      </w:r>
      <w:r w:rsidR="00273E56" w:rsidRPr="007917A1">
        <w:rPr>
          <w:rFonts w:ascii="Times New Roman" w:hAnsi="Times New Roman" w:cs="Times New Roman"/>
          <w:sz w:val="24"/>
          <w:szCs w:val="24"/>
        </w:rPr>
        <w:t xml:space="preserve"> собственные </w:t>
      </w:r>
      <w:r w:rsidR="00273E56" w:rsidRPr="007917A1">
        <w:rPr>
          <w:rFonts w:ascii="Times New Roman" w:hAnsi="Times New Roman" w:cs="Times New Roman"/>
          <w:sz w:val="24"/>
          <w:szCs w:val="24"/>
        </w:rPr>
        <w:lastRenderedPageBreak/>
        <w:t xml:space="preserve">площади, </w:t>
      </w:r>
      <w:r w:rsidR="00F73697" w:rsidRPr="007917A1">
        <w:rPr>
          <w:rFonts w:ascii="Times New Roman" w:hAnsi="Times New Roman" w:cs="Times New Roman"/>
          <w:sz w:val="24"/>
          <w:szCs w:val="24"/>
        </w:rPr>
        <w:t xml:space="preserve">выведенные </w:t>
      </w:r>
      <w:r w:rsidR="00F87FBA" w:rsidRPr="007917A1">
        <w:rPr>
          <w:rFonts w:ascii="Times New Roman" w:hAnsi="Times New Roman" w:cs="Times New Roman"/>
          <w:sz w:val="24"/>
          <w:szCs w:val="24"/>
        </w:rPr>
        <w:t>по разным причинам</w:t>
      </w:r>
      <w:r w:rsidR="00273E56" w:rsidRPr="007917A1">
        <w:rPr>
          <w:rFonts w:ascii="Times New Roman" w:hAnsi="Times New Roman" w:cs="Times New Roman"/>
          <w:sz w:val="24"/>
          <w:szCs w:val="24"/>
        </w:rPr>
        <w:t xml:space="preserve"> из портфеля операционной недвижимости банков</w:t>
      </w:r>
      <w:r w:rsidR="00F87FBA" w:rsidRPr="007917A1">
        <w:rPr>
          <w:rFonts w:ascii="Times New Roman" w:hAnsi="Times New Roman" w:cs="Times New Roman"/>
          <w:sz w:val="24"/>
          <w:szCs w:val="24"/>
        </w:rPr>
        <w:t>, но еще не реализованные на рынке.</w:t>
      </w:r>
    </w:p>
    <w:p w:rsidR="00F87FBA" w:rsidRPr="007917A1" w:rsidRDefault="00F87FBA" w:rsidP="004E5964">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 xml:space="preserve">Малая часть </w:t>
      </w:r>
      <w:r w:rsidR="00FF1FEF" w:rsidRPr="007917A1">
        <w:rPr>
          <w:rFonts w:ascii="Times New Roman" w:hAnsi="Times New Roman" w:cs="Times New Roman"/>
          <w:sz w:val="24"/>
          <w:szCs w:val="24"/>
        </w:rPr>
        <w:t xml:space="preserve">(на сумму </w:t>
      </w:r>
      <w:r w:rsidR="00382794" w:rsidRPr="007917A1">
        <w:rPr>
          <w:rFonts w:ascii="Times New Roman" w:hAnsi="Times New Roman" w:cs="Times New Roman"/>
          <w:sz w:val="24"/>
          <w:szCs w:val="24"/>
        </w:rPr>
        <w:t>8</w:t>
      </w:r>
      <w:r w:rsidR="00FF1FEF" w:rsidRPr="007917A1">
        <w:rPr>
          <w:rFonts w:ascii="Times New Roman" w:hAnsi="Times New Roman" w:cs="Times New Roman"/>
          <w:sz w:val="24"/>
          <w:szCs w:val="24"/>
        </w:rPr>
        <w:t>,</w:t>
      </w:r>
      <w:r w:rsidR="00382794" w:rsidRPr="007917A1">
        <w:rPr>
          <w:rFonts w:ascii="Times New Roman" w:hAnsi="Times New Roman" w:cs="Times New Roman"/>
          <w:sz w:val="24"/>
          <w:szCs w:val="24"/>
        </w:rPr>
        <w:t>1</w:t>
      </w:r>
      <w:r w:rsidR="00FF1FEF" w:rsidRPr="007917A1">
        <w:rPr>
          <w:rFonts w:ascii="Times New Roman" w:hAnsi="Times New Roman" w:cs="Times New Roman"/>
          <w:sz w:val="24"/>
          <w:szCs w:val="24"/>
        </w:rPr>
        <w:t xml:space="preserve">5 млрд.руб. или </w:t>
      </w:r>
      <w:r w:rsidR="00382794" w:rsidRPr="007917A1">
        <w:rPr>
          <w:rFonts w:ascii="Times New Roman" w:hAnsi="Times New Roman" w:cs="Times New Roman"/>
          <w:sz w:val="24"/>
          <w:szCs w:val="24"/>
        </w:rPr>
        <w:t>3,4</w:t>
      </w:r>
      <w:r w:rsidR="00FF1FEF" w:rsidRPr="007917A1">
        <w:rPr>
          <w:rFonts w:ascii="Times New Roman" w:hAnsi="Times New Roman" w:cs="Times New Roman"/>
          <w:sz w:val="24"/>
          <w:szCs w:val="24"/>
        </w:rPr>
        <w:t>% стоимости НВ</w:t>
      </w:r>
      <w:r w:rsidR="000424B1" w:rsidRPr="007917A1">
        <w:rPr>
          <w:rFonts w:ascii="Times New Roman" w:hAnsi="Times New Roman" w:cs="Times New Roman"/>
          <w:sz w:val="24"/>
          <w:szCs w:val="24"/>
        </w:rPr>
        <w:t>Н</w:t>
      </w:r>
      <w:r w:rsidR="00FF1FEF" w:rsidRPr="007917A1">
        <w:rPr>
          <w:rFonts w:ascii="Times New Roman" w:hAnsi="Times New Roman" w:cs="Times New Roman"/>
          <w:sz w:val="24"/>
          <w:szCs w:val="24"/>
        </w:rPr>
        <w:t xml:space="preserve">ОД) представлена объектами незавершенного строительства. </w:t>
      </w:r>
      <w:r w:rsidR="006B398A" w:rsidRPr="007917A1">
        <w:rPr>
          <w:rFonts w:ascii="Times New Roman" w:hAnsi="Times New Roman" w:cs="Times New Roman"/>
          <w:sz w:val="24"/>
          <w:szCs w:val="24"/>
        </w:rPr>
        <w:t>По нашему мнению</w:t>
      </w:r>
      <w:r w:rsidR="000005EE" w:rsidRPr="007917A1">
        <w:rPr>
          <w:rFonts w:ascii="Times New Roman" w:hAnsi="Times New Roman" w:cs="Times New Roman"/>
          <w:sz w:val="24"/>
          <w:szCs w:val="24"/>
        </w:rPr>
        <w:t xml:space="preserve"> это не только (и не столько) строительство для собственных операционных нужд банков, сколько </w:t>
      </w:r>
      <w:r w:rsidR="00382794" w:rsidRPr="007917A1">
        <w:rPr>
          <w:rFonts w:ascii="Times New Roman" w:hAnsi="Times New Roman" w:cs="Times New Roman"/>
          <w:sz w:val="24"/>
          <w:szCs w:val="24"/>
        </w:rPr>
        <w:t xml:space="preserve">принятые на баланс активы </w:t>
      </w:r>
      <w:r w:rsidR="005A2EF6" w:rsidRPr="007917A1">
        <w:rPr>
          <w:rFonts w:ascii="Times New Roman" w:hAnsi="Times New Roman" w:cs="Times New Roman"/>
          <w:sz w:val="24"/>
          <w:szCs w:val="24"/>
        </w:rPr>
        <w:t>девелоперов</w:t>
      </w:r>
      <w:r w:rsidR="000005EE" w:rsidRPr="007917A1">
        <w:rPr>
          <w:rFonts w:ascii="Times New Roman" w:hAnsi="Times New Roman" w:cs="Times New Roman"/>
          <w:sz w:val="24"/>
          <w:szCs w:val="24"/>
        </w:rPr>
        <w:t xml:space="preserve">. </w:t>
      </w:r>
    </w:p>
    <w:p w:rsidR="005A2EF6" w:rsidRPr="007917A1" w:rsidRDefault="00382794" w:rsidP="004E5964">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 xml:space="preserve">Дополнительно, присутствует </w:t>
      </w:r>
      <w:r w:rsidR="000618C2" w:rsidRPr="007917A1">
        <w:rPr>
          <w:rFonts w:ascii="Times New Roman" w:hAnsi="Times New Roman" w:cs="Times New Roman"/>
          <w:sz w:val="24"/>
          <w:szCs w:val="24"/>
        </w:rPr>
        <w:t>часть</w:t>
      </w:r>
      <w:r w:rsidR="00C34009" w:rsidRPr="007917A1">
        <w:rPr>
          <w:rFonts w:ascii="Times New Roman" w:hAnsi="Times New Roman" w:cs="Times New Roman"/>
          <w:sz w:val="24"/>
          <w:szCs w:val="24"/>
        </w:rPr>
        <w:t xml:space="preserve"> временно неиспользуемой земли (</w:t>
      </w:r>
      <w:r w:rsidR="006B398A" w:rsidRPr="007917A1">
        <w:rPr>
          <w:rFonts w:ascii="Times New Roman" w:hAnsi="Times New Roman" w:cs="Times New Roman"/>
          <w:sz w:val="24"/>
          <w:szCs w:val="24"/>
        </w:rPr>
        <w:t>14</w:t>
      </w:r>
      <w:r w:rsidR="00C34009" w:rsidRPr="007917A1">
        <w:rPr>
          <w:rFonts w:ascii="Times New Roman" w:hAnsi="Times New Roman" w:cs="Times New Roman"/>
          <w:sz w:val="24"/>
          <w:szCs w:val="24"/>
        </w:rPr>
        <w:t>,</w:t>
      </w:r>
      <w:r w:rsidR="00F73697" w:rsidRPr="007917A1">
        <w:rPr>
          <w:rFonts w:ascii="Times New Roman" w:hAnsi="Times New Roman" w:cs="Times New Roman"/>
          <w:sz w:val="24"/>
          <w:szCs w:val="24"/>
        </w:rPr>
        <w:t>7</w:t>
      </w:r>
      <w:r w:rsidR="006B398A" w:rsidRPr="007917A1">
        <w:rPr>
          <w:rFonts w:ascii="Times New Roman" w:hAnsi="Times New Roman" w:cs="Times New Roman"/>
          <w:sz w:val="24"/>
          <w:szCs w:val="24"/>
        </w:rPr>
        <w:t xml:space="preserve">3 </w:t>
      </w:r>
      <w:r w:rsidR="00C34009" w:rsidRPr="007917A1">
        <w:rPr>
          <w:rFonts w:ascii="Times New Roman" w:hAnsi="Times New Roman" w:cs="Times New Roman"/>
          <w:sz w:val="24"/>
          <w:szCs w:val="24"/>
        </w:rPr>
        <w:t>млрд</w:t>
      </w:r>
      <w:r w:rsidR="00F73697" w:rsidRPr="007917A1">
        <w:rPr>
          <w:rFonts w:ascii="Times New Roman" w:hAnsi="Times New Roman" w:cs="Times New Roman"/>
          <w:sz w:val="24"/>
          <w:szCs w:val="24"/>
        </w:rPr>
        <w:t> </w:t>
      </w:r>
      <w:r w:rsidR="00C34009" w:rsidRPr="007917A1">
        <w:rPr>
          <w:rFonts w:ascii="Times New Roman" w:hAnsi="Times New Roman" w:cs="Times New Roman"/>
          <w:sz w:val="24"/>
          <w:szCs w:val="24"/>
        </w:rPr>
        <w:t xml:space="preserve">руб., </w:t>
      </w:r>
      <w:r w:rsidR="006B398A" w:rsidRPr="007917A1">
        <w:rPr>
          <w:rFonts w:ascii="Times New Roman" w:hAnsi="Times New Roman" w:cs="Times New Roman"/>
          <w:sz w:val="24"/>
          <w:szCs w:val="24"/>
        </w:rPr>
        <w:t>43</w:t>
      </w:r>
      <w:r w:rsidR="00C34009" w:rsidRPr="007917A1">
        <w:rPr>
          <w:rFonts w:ascii="Times New Roman" w:hAnsi="Times New Roman" w:cs="Times New Roman"/>
          <w:sz w:val="24"/>
          <w:szCs w:val="24"/>
        </w:rPr>
        <w:t>% в составе НВ</w:t>
      </w:r>
      <w:r w:rsidR="000424B1" w:rsidRPr="007917A1">
        <w:rPr>
          <w:rFonts w:ascii="Times New Roman" w:hAnsi="Times New Roman" w:cs="Times New Roman"/>
          <w:sz w:val="24"/>
          <w:szCs w:val="24"/>
        </w:rPr>
        <w:t>Н</w:t>
      </w:r>
      <w:r w:rsidR="00C34009" w:rsidRPr="007917A1">
        <w:rPr>
          <w:rFonts w:ascii="Times New Roman" w:hAnsi="Times New Roman" w:cs="Times New Roman"/>
          <w:sz w:val="24"/>
          <w:szCs w:val="24"/>
        </w:rPr>
        <w:t>ОД) и временно неиспользуемых площадей (</w:t>
      </w:r>
      <w:r w:rsidR="006B398A" w:rsidRPr="007917A1">
        <w:rPr>
          <w:rFonts w:ascii="Times New Roman" w:hAnsi="Times New Roman" w:cs="Times New Roman"/>
          <w:sz w:val="24"/>
          <w:szCs w:val="24"/>
        </w:rPr>
        <w:t>64</w:t>
      </w:r>
      <w:r w:rsidR="00C34009" w:rsidRPr="007917A1">
        <w:rPr>
          <w:rFonts w:ascii="Times New Roman" w:hAnsi="Times New Roman" w:cs="Times New Roman"/>
          <w:sz w:val="24"/>
          <w:szCs w:val="24"/>
        </w:rPr>
        <w:t>,01 млрд</w:t>
      </w:r>
      <w:r w:rsidR="00F73697" w:rsidRPr="007917A1">
        <w:rPr>
          <w:rFonts w:ascii="Times New Roman" w:hAnsi="Times New Roman" w:cs="Times New Roman"/>
          <w:sz w:val="24"/>
          <w:szCs w:val="24"/>
        </w:rPr>
        <w:t xml:space="preserve"> </w:t>
      </w:r>
      <w:r w:rsidR="00C34009" w:rsidRPr="007917A1">
        <w:rPr>
          <w:rFonts w:ascii="Times New Roman" w:hAnsi="Times New Roman" w:cs="Times New Roman"/>
          <w:sz w:val="24"/>
          <w:szCs w:val="24"/>
        </w:rPr>
        <w:t xml:space="preserve">руб., </w:t>
      </w:r>
      <w:r w:rsidR="006B398A" w:rsidRPr="007917A1">
        <w:rPr>
          <w:rFonts w:ascii="Times New Roman" w:hAnsi="Times New Roman" w:cs="Times New Roman"/>
          <w:sz w:val="24"/>
          <w:szCs w:val="24"/>
        </w:rPr>
        <w:t>27,08</w:t>
      </w:r>
      <w:r w:rsidR="00C34009" w:rsidRPr="007917A1">
        <w:rPr>
          <w:rFonts w:ascii="Times New Roman" w:hAnsi="Times New Roman" w:cs="Times New Roman"/>
          <w:sz w:val="24"/>
          <w:szCs w:val="24"/>
        </w:rPr>
        <w:t>% в составе НВ</w:t>
      </w:r>
      <w:r w:rsidR="000424B1" w:rsidRPr="007917A1">
        <w:rPr>
          <w:rFonts w:ascii="Times New Roman" w:hAnsi="Times New Roman" w:cs="Times New Roman"/>
          <w:sz w:val="24"/>
          <w:szCs w:val="24"/>
        </w:rPr>
        <w:t>Н</w:t>
      </w:r>
      <w:r w:rsidR="00C34009" w:rsidRPr="007917A1">
        <w:rPr>
          <w:rFonts w:ascii="Times New Roman" w:hAnsi="Times New Roman" w:cs="Times New Roman"/>
          <w:sz w:val="24"/>
          <w:szCs w:val="24"/>
        </w:rPr>
        <w:t xml:space="preserve">ОД) </w:t>
      </w:r>
      <w:r w:rsidR="00F73697" w:rsidRPr="007917A1">
        <w:rPr>
          <w:rFonts w:ascii="Times New Roman" w:hAnsi="Times New Roman" w:cs="Times New Roman"/>
          <w:sz w:val="24"/>
          <w:szCs w:val="24"/>
        </w:rPr>
        <w:t xml:space="preserve">которые сданы </w:t>
      </w:r>
      <w:r w:rsidR="001531FA" w:rsidRPr="007917A1">
        <w:rPr>
          <w:rFonts w:ascii="Times New Roman" w:hAnsi="Times New Roman" w:cs="Times New Roman"/>
          <w:sz w:val="24"/>
          <w:szCs w:val="24"/>
        </w:rPr>
        <w:t>банками в аренду</w:t>
      </w:r>
      <w:r w:rsidR="00067245" w:rsidRPr="007917A1">
        <w:rPr>
          <w:rFonts w:ascii="Times New Roman" w:hAnsi="Times New Roman" w:cs="Times New Roman"/>
          <w:sz w:val="24"/>
          <w:szCs w:val="24"/>
        </w:rPr>
        <w:t>, что частично может компенсировать убытки, но не является профильной деятельностью для банковской системы.</w:t>
      </w:r>
    </w:p>
    <w:p w:rsidR="009364F3" w:rsidRPr="007917A1" w:rsidRDefault="00176EA2" w:rsidP="004E5964">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Из рассмотренных данных</w:t>
      </w:r>
      <w:r w:rsidR="00806453" w:rsidRPr="007917A1">
        <w:rPr>
          <w:rFonts w:ascii="Times New Roman" w:hAnsi="Times New Roman" w:cs="Times New Roman"/>
          <w:sz w:val="24"/>
          <w:szCs w:val="24"/>
        </w:rPr>
        <w:t>, на первый взгляд,</w:t>
      </w:r>
      <w:r w:rsidRPr="007917A1">
        <w:rPr>
          <w:rFonts w:ascii="Times New Roman" w:hAnsi="Times New Roman" w:cs="Times New Roman"/>
          <w:sz w:val="24"/>
          <w:szCs w:val="24"/>
        </w:rPr>
        <w:t xml:space="preserve"> можно сделать промежуточный вывод</w:t>
      </w:r>
      <w:r w:rsidR="00806453" w:rsidRPr="007917A1">
        <w:rPr>
          <w:rFonts w:ascii="Times New Roman" w:hAnsi="Times New Roman" w:cs="Times New Roman"/>
          <w:sz w:val="24"/>
          <w:szCs w:val="24"/>
        </w:rPr>
        <w:t xml:space="preserve"> о том</w:t>
      </w:r>
      <w:r w:rsidRPr="007917A1">
        <w:rPr>
          <w:rFonts w:ascii="Times New Roman" w:hAnsi="Times New Roman" w:cs="Times New Roman"/>
          <w:sz w:val="24"/>
          <w:szCs w:val="24"/>
        </w:rPr>
        <w:t xml:space="preserve">, что незначительность доли </w:t>
      </w:r>
      <w:r w:rsidR="00806453" w:rsidRPr="007917A1">
        <w:rPr>
          <w:rFonts w:ascii="Times New Roman" w:hAnsi="Times New Roman" w:cs="Times New Roman"/>
          <w:sz w:val="24"/>
          <w:szCs w:val="24"/>
        </w:rPr>
        <w:t xml:space="preserve">балансовой </w:t>
      </w:r>
      <w:r w:rsidRPr="007917A1">
        <w:rPr>
          <w:rFonts w:ascii="Times New Roman" w:hAnsi="Times New Roman" w:cs="Times New Roman"/>
          <w:sz w:val="24"/>
          <w:szCs w:val="24"/>
        </w:rPr>
        <w:t xml:space="preserve">стоимости недвижимых активов от полной </w:t>
      </w:r>
      <w:r w:rsidR="00806453" w:rsidRPr="007917A1">
        <w:rPr>
          <w:rFonts w:ascii="Times New Roman" w:hAnsi="Times New Roman" w:cs="Times New Roman"/>
          <w:sz w:val="24"/>
          <w:szCs w:val="24"/>
        </w:rPr>
        <w:t xml:space="preserve">балансовой </w:t>
      </w:r>
      <w:r w:rsidRPr="007917A1">
        <w:rPr>
          <w:rFonts w:ascii="Times New Roman" w:hAnsi="Times New Roman" w:cs="Times New Roman"/>
          <w:sz w:val="24"/>
          <w:szCs w:val="24"/>
        </w:rPr>
        <w:t>стоимости всех активов банковской системы (</w:t>
      </w:r>
      <w:r w:rsidR="00806453" w:rsidRPr="007917A1">
        <w:rPr>
          <w:rFonts w:ascii="Times New Roman" w:hAnsi="Times New Roman" w:cs="Times New Roman"/>
          <w:sz w:val="24"/>
          <w:szCs w:val="24"/>
        </w:rPr>
        <w:t>1,</w:t>
      </w:r>
      <w:r w:rsidR="00F73697" w:rsidRPr="007917A1">
        <w:rPr>
          <w:rFonts w:ascii="Times New Roman" w:hAnsi="Times New Roman" w:cs="Times New Roman"/>
          <w:sz w:val="24"/>
          <w:szCs w:val="24"/>
        </w:rPr>
        <w:t>27</w:t>
      </w:r>
      <w:r w:rsidR="00806453" w:rsidRPr="007917A1">
        <w:rPr>
          <w:rFonts w:ascii="Times New Roman" w:hAnsi="Times New Roman" w:cs="Times New Roman"/>
          <w:sz w:val="24"/>
          <w:szCs w:val="24"/>
        </w:rPr>
        <w:t xml:space="preserve">%) исключает угрозу банковского кризиса </w:t>
      </w:r>
      <w:r w:rsidR="00102A0E" w:rsidRPr="007917A1">
        <w:rPr>
          <w:rFonts w:ascii="Times New Roman" w:hAnsi="Times New Roman" w:cs="Times New Roman"/>
          <w:sz w:val="24"/>
          <w:szCs w:val="24"/>
        </w:rPr>
        <w:t xml:space="preserve">даже </w:t>
      </w:r>
      <w:r w:rsidR="00806453" w:rsidRPr="007917A1">
        <w:rPr>
          <w:rFonts w:ascii="Times New Roman" w:hAnsi="Times New Roman" w:cs="Times New Roman"/>
          <w:sz w:val="24"/>
          <w:szCs w:val="24"/>
        </w:rPr>
        <w:t xml:space="preserve">при их </w:t>
      </w:r>
      <w:r w:rsidR="008E1F57" w:rsidRPr="007917A1">
        <w:rPr>
          <w:rFonts w:ascii="Times New Roman" w:hAnsi="Times New Roman" w:cs="Times New Roman"/>
          <w:sz w:val="24"/>
          <w:szCs w:val="24"/>
        </w:rPr>
        <w:t xml:space="preserve">резком </w:t>
      </w:r>
      <w:r w:rsidR="00806453" w:rsidRPr="007917A1">
        <w:rPr>
          <w:rFonts w:ascii="Times New Roman" w:hAnsi="Times New Roman" w:cs="Times New Roman"/>
          <w:sz w:val="24"/>
          <w:szCs w:val="24"/>
        </w:rPr>
        <w:t>обесцен</w:t>
      </w:r>
      <w:r w:rsidR="008E1F57" w:rsidRPr="007917A1">
        <w:rPr>
          <w:rFonts w:ascii="Times New Roman" w:hAnsi="Times New Roman" w:cs="Times New Roman"/>
          <w:sz w:val="24"/>
          <w:szCs w:val="24"/>
        </w:rPr>
        <w:t>ивании</w:t>
      </w:r>
      <w:r w:rsidR="00806453" w:rsidRPr="007917A1">
        <w:rPr>
          <w:rFonts w:ascii="Times New Roman" w:hAnsi="Times New Roman" w:cs="Times New Roman"/>
          <w:sz w:val="24"/>
          <w:szCs w:val="24"/>
        </w:rPr>
        <w:t xml:space="preserve">. </w:t>
      </w:r>
      <w:r w:rsidR="009364F3" w:rsidRPr="007917A1">
        <w:rPr>
          <w:rFonts w:ascii="Times New Roman" w:hAnsi="Times New Roman" w:cs="Times New Roman"/>
          <w:sz w:val="24"/>
          <w:szCs w:val="24"/>
        </w:rPr>
        <w:t xml:space="preserve">Однако при анализе рисков </w:t>
      </w:r>
      <w:r w:rsidR="008E1F57" w:rsidRPr="007917A1">
        <w:rPr>
          <w:rFonts w:ascii="Times New Roman" w:hAnsi="Times New Roman" w:cs="Times New Roman"/>
          <w:sz w:val="24"/>
          <w:szCs w:val="24"/>
        </w:rPr>
        <w:t xml:space="preserve">банковского кризиса </w:t>
      </w:r>
      <w:r w:rsidR="009364F3" w:rsidRPr="007917A1">
        <w:rPr>
          <w:rFonts w:ascii="Times New Roman" w:hAnsi="Times New Roman" w:cs="Times New Roman"/>
          <w:sz w:val="24"/>
          <w:szCs w:val="24"/>
        </w:rPr>
        <w:t xml:space="preserve">необходимо учитывать не только суммарные показатели по банковской системе в целом, но и </w:t>
      </w:r>
      <w:r w:rsidR="00F51716" w:rsidRPr="007917A1">
        <w:rPr>
          <w:rFonts w:ascii="Times New Roman" w:hAnsi="Times New Roman" w:cs="Times New Roman"/>
          <w:sz w:val="24"/>
          <w:szCs w:val="24"/>
        </w:rPr>
        <w:t xml:space="preserve">потенциал увеличения размера портфеля недвижимости на балансах банков в случае существенного ухудшения состояния кредитных портфелей банков, а также </w:t>
      </w:r>
      <w:r w:rsidR="009364F3" w:rsidRPr="007917A1">
        <w:rPr>
          <w:rFonts w:ascii="Times New Roman" w:hAnsi="Times New Roman" w:cs="Times New Roman"/>
          <w:sz w:val="24"/>
          <w:szCs w:val="24"/>
        </w:rPr>
        <w:t>показатели по отдельным банкам (по крайней мере – крупнейшим системным банкам с существенной долей государства в акционерном капитале).</w:t>
      </w:r>
    </w:p>
    <w:p w:rsidR="00F51716" w:rsidRPr="007917A1" w:rsidRDefault="00D50732" w:rsidP="004E5964">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В целях оценки потенциального увеличения размеров портфелей недвижимости банков н</w:t>
      </w:r>
      <w:r w:rsidR="00F51716" w:rsidRPr="007917A1">
        <w:rPr>
          <w:rFonts w:ascii="Times New Roman" w:hAnsi="Times New Roman" w:cs="Times New Roman"/>
          <w:sz w:val="24"/>
          <w:szCs w:val="24"/>
        </w:rPr>
        <w:t xml:space="preserve">а Рисунке 3 представлен </w:t>
      </w:r>
      <w:r w:rsidR="00C81BC6" w:rsidRPr="007917A1">
        <w:rPr>
          <w:rFonts w:ascii="Times New Roman" w:hAnsi="Times New Roman" w:cs="Times New Roman"/>
          <w:sz w:val="24"/>
          <w:szCs w:val="24"/>
        </w:rPr>
        <w:t>совокупный объем имущества</w:t>
      </w:r>
      <w:r w:rsidR="00FA3583" w:rsidRPr="007917A1">
        <w:rPr>
          <w:rFonts w:ascii="Times New Roman" w:hAnsi="Times New Roman" w:cs="Times New Roman"/>
          <w:sz w:val="24"/>
          <w:szCs w:val="24"/>
        </w:rPr>
        <w:t>,</w:t>
      </w:r>
      <w:r w:rsidR="00C81BC6" w:rsidRPr="007917A1">
        <w:rPr>
          <w:rFonts w:ascii="Times New Roman" w:hAnsi="Times New Roman" w:cs="Times New Roman"/>
          <w:sz w:val="24"/>
          <w:szCs w:val="24"/>
        </w:rPr>
        <w:t xml:space="preserve"> принятого в обеспечение по размещенным средствам банков, представляющий собой пул активов (по стоимости в значительной степени недвижимости) потенциально </w:t>
      </w:r>
      <w:r w:rsidRPr="007917A1">
        <w:rPr>
          <w:rFonts w:ascii="Times New Roman" w:hAnsi="Times New Roman" w:cs="Times New Roman"/>
          <w:sz w:val="24"/>
          <w:szCs w:val="24"/>
        </w:rPr>
        <w:t>способных существенно увеличить размер портфелей недвижимости банков в случае реализации наиболее неблагоприятного сценария развития банковского сектора</w:t>
      </w:r>
      <w:r w:rsidR="00F51716" w:rsidRPr="007917A1">
        <w:rPr>
          <w:rFonts w:ascii="Times New Roman" w:hAnsi="Times New Roman" w:cs="Times New Roman"/>
          <w:sz w:val="24"/>
          <w:szCs w:val="24"/>
        </w:rPr>
        <w:t>.</w:t>
      </w:r>
    </w:p>
    <w:p w:rsidR="00F51716" w:rsidRPr="007917A1" w:rsidRDefault="00F51716" w:rsidP="00F51716">
      <w:pPr>
        <w:keepNext/>
        <w:spacing w:line="360" w:lineRule="auto"/>
        <w:contextualSpacing/>
        <w:jc w:val="both"/>
        <w:rPr>
          <w:rFonts w:ascii="Times New Roman" w:eastAsia="Times New Roman" w:hAnsi="Times New Roman" w:cs="Times New Roman"/>
          <w:b/>
          <w:i/>
          <w:sz w:val="24"/>
          <w:szCs w:val="24"/>
          <w:lang w:eastAsia="ru-RU"/>
        </w:rPr>
      </w:pPr>
      <w:r w:rsidRPr="007917A1">
        <w:rPr>
          <w:rFonts w:ascii="Times New Roman" w:eastAsia="Times New Roman" w:hAnsi="Times New Roman" w:cs="Times New Roman"/>
          <w:b/>
          <w:i/>
          <w:sz w:val="24"/>
          <w:szCs w:val="24"/>
          <w:lang w:eastAsia="ru-RU"/>
        </w:rPr>
        <w:lastRenderedPageBreak/>
        <w:t xml:space="preserve">Рисунок </w:t>
      </w:r>
      <w:r w:rsidRPr="007917A1">
        <w:rPr>
          <w:rFonts w:ascii="Times New Roman" w:eastAsia="Times New Roman" w:hAnsi="Times New Roman" w:cs="Times New Roman"/>
          <w:b/>
          <w:i/>
          <w:sz w:val="24"/>
          <w:szCs w:val="24"/>
          <w:lang w:eastAsia="ru-RU"/>
        </w:rPr>
        <w:fldChar w:fldCharType="begin"/>
      </w:r>
      <w:r w:rsidRPr="007917A1">
        <w:rPr>
          <w:rFonts w:ascii="Times New Roman" w:eastAsia="Times New Roman" w:hAnsi="Times New Roman" w:cs="Times New Roman"/>
          <w:b/>
          <w:i/>
          <w:sz w:val="24"/>
          <w:szCs w:val="24"/>
          <w:lang w:eastAsia="ru-RU"/>
        </w:rPr>
        <w:instrText xml:space="preserve"> SEQ Рисунок \* ARABIC </w:instrText>
      </w:r>
      <w:r w:rsidRPr="007917A1">
        <w:rPr>
          <w:rFonts w:ascii="Times New Roman" w:eastAsia="Times New Roman" w:hAnsi="Times New Roman" w:cs="Times New Roman"/>
          <w:b/>
          <w:i/>
          <w:sz w:val="24"/>
          <w:szCs w:val="24"/>
          <w:lang w:eastAsia="ru-RU"/>
        </w:rPr>
        <w:fldChar w:fldCharType="separate"/>
      </w:r>
      <w:r w:rsidR="004D2C76" w:rsidRPr="007917A1">
        <w:rPr>
          <w:rFonts w:ascii="Times New Roman" w:eastAsia="Times New Roman" w:hAnsi="Times New Roman" w:cs="Times New Roman"/>
          <w:b/>
          <w:i/>
          <w:noProof/>
          <w:sz w:val="24"/>
          <w:szCs w:val="24"/>
          <w:lang w:eastAsia="ru-RU"/>
        </w:rPr>
        <w:t>3</w:t>
      </w:r>
      <w:r w:rsidRPr="007917A1">
        <w:rPr>
          <w:rFonts w:ascii="Times New Roman" w:eastAsia="Times New Roman" w:hAnsi="Times New Roman" w:cs="Times New Roman"/>
          <w:b/>
          <w:i/>
          <w:sz w:val="24"/>
          <w:szCs w:val="24"/>
          <w:lang w:eastAsia="ru-RU"/>
        </w:rPr>
        <w:fldChar w:fldCharType="end"/>
      </w:r>
      <w:r w:rsidRPr="007917A1">
        <w:rPr>
          <w:rFonts w:ascii="Times New Roman" w:eastAsia="Times New Roman" w:hAnsi="Times New Roman" w:cs="Times New Roman"/>
          <w:b/>
          <w:i/>
          <w:sz w:val="24"/>
          <w:szCs w:val="24"/>
          <w:lang w:eastAsia="ru-RU"/>
        </w:rPr>
        <w:t>.</w:t>
      </w:r>
    </w:p>
    <w:p w:rsidR="00F51716" w:rsidRPr="007917A1" w:rsidRDefault="00F51716" w:rsidP="00F51716">
      <w:r w:rsidRPr="007917A1">
        <w:rPr>
          <w:rFonts w:ascii="Times New Roman" w:hAnsi="Times New Roman" w:cs="Times New Roman"/>
          <w:b/>
          <w:sz w:val="24"/>
          <w:szCs w:val="24"/>
        </w:rPr>
        <w:t xml:space="preserve">Имущество, принятое в обеспечение по размещенным средствам, кроме ценных бумаг </w:t>
      </w:r>
      <w:proofErr w:type="gramStart"/>
      <w:r w:rsidRPr="007917A1">
        <w:rPr>
          <w:rFonts w:ascii="Times New Roman" w:hAnsi="Times New Roman" w:cs="Times New Roman"/>
          <w:b/>
          <w:sz w:val="24"/>
          <w:szCs w:val="24"/>
        </w:rPr>
        <w:t>и  драгоценных</w:t>
      </w:r>
      <w:proofErr w:type="gramEnd"/>
      <w:r w:rsidRPr="007917A1">
        <w:rPr>
          <w:rFonts w:ascii="Times New Roman" w:hAnsi="Times New Roman" w:cs="Times New Roman"/>
          <w:b/>
          <w:sz w:val="24"/>
          <w:szCs w:val="24"/>
        </w:rPr>
        <w:t xml:space="preserve">  металлов</w:t>
      </w:r>
      <w:r w:rsidR="007100A7" w:rsidRPr="007917A1">
        <w:rPr>
          <w:rFonts w:ascii="Times New Roman" w:hAnsi="Times New Roman" w:cs="Times New Roman"/>
          <w:b/>
          <w:sz w:val="24"/>
          <w:szCs w:val="24"/>
        </w:rPr>
        <w:t xml:space="preserve"> по состоянию на 01.10.2018</w:t>
      </w:r>
      <w:r w:rsidRPr="007917A1">
        <w:rPr>
          <w:rFonts w:ascii="Times New Roman" w:hAnsi="Times New Roman" w:cs="Times New Roman"/>
          <w:b/>
          <w:sz w:val="24"/>
          <w:szCs w:val="24"/>
        </w:rPr>
        <w:t>, трлн руб.</w:t>
      </w:r>
      <w:r w:rsidR="003A4784" w:rsidRPr="007917A1">
        <w:rPr>
          <w:rFonts w:ascii="Times New Roman" w:hAnsi="Times New Roman" w:cs="Times New Roman"/>
          <w:noProof/>
          <w:sz w:val="24"/>
          <w:szCs w:val="24"/>
          <w:lang w:eastAsia="ru-RU"/>
        </w:rPr>
        <w:drawing>
          <wp:inline distT="0" distB="0" distL="0" distR="0" wp14:anchorId="1C80A3D0" wp14:editId="0E192819">
            <wp:extent cx="592455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4784" w:rsidRPr="007917A1" w:rsidRDefault="003A4784" w:rsidP="003A4784">
      <w:pPr>
        <w:spacing w:before="120" w:after="0" w:line="360" w:lineRule="auto"/>
        <w:rPr>
          <w:rFonts w:ascii="Times New Roman" w:hAnsi="Times New Roman" w:cs="Times New Roman"/>
          <w:i/>
          <w:sz w:val="20"/>
          <w:szCs w:val="20"/>
        </w:rPr>
      </w:pPr>
      <w:r w:rsidRPr="007917A1">
        <w:rPr>
          <w:rFonts w:ascii="Times New Roman" w:hAnsi="Times New Roman" w:cs="Times New Roman"/>
          <w:i/>
          <w:sz w:val="20"/>
          <w:szCs w:val="20"/>
        </w:rPr>
        <w:t xml:space="preserve">Источник: </w:t>
      </w:r>
      <w:r w:rsidR="007E5DA3" w:rsidRPr="007917A1">
        <w:rPr>
          <w:rFonts w:ascii="Times New Roman" w:hAnsi="Times New Roman" w:cs="Times New Roman"/>
          <w:i/>
          <w:sz w:val="20"/>
          <w:szCs w:val="20"/>
        </w:rPr>
        <w:t>расчёты авторов</w:t>
      </w:r>
      <w:r w:rsidR="00FA3583" w:rsidRPr="007917A1">
        <w:rPr>
          <w:rFonts w:ascii="Times New Roman" w:hAnsi="Times New Roman" w:cs="Times New Roman"/>
          <w:i/>
          <w:sz w:val="20"/>
          <w:szCs w:val="20"/>
        </w:rPr>
        <w:t xml:space="preserve"> по данным Банка России</w:t>
      </w:r>
      <w:r w:rsidR="007E5DA3" w:rsidRPr="007917A1">
        <w:rPr>
          <w:rStyle w:val="a8"/>
          <w:rFonts w:ascii="Times New Roman" w:hAnsi="Times New Roman" w:cs="Times New Roman"/>
          <w:i/>
          <w:sz w:val="20"/>
          <w:szCs w:val="20"/>
        </w:rPr>
        <w:footnoteReference w:id="9"/>
      </w:r>
    </w:p>
    <w:p w:rsidR="009364F3" w:rsidRPr="007917A1" w:rsidRDefault="00624AB2" w:rsidP="004E5964">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 xml:space="preserve">На Рисунке </w:t>
      </w:r>
      <w:r w:rsidR="00F51716" w:rsidRPr="007917A1">
        <w:rPr>
          <w:rFonts w:ascii="Times New Roman" w:hAnsi="Times New Roman" w:cs="Times New Roman"/>
          <w:sz w:val="24"/>
          <w:szCs w:val="24"/>
        </w:rPr>
        <w:t>4</w:t>
      </w:r>
      <w:r w:rsidR="009364F3" w:rsidRPr="007917A1">
        <w:rPr>
          <w:rFonts w:ascii="Times New Roman" w:hAnsi="Times New Roman" w:cs="Times New Roman"/>
          <w:sz w:val="24"/>
          <w:szCs w:val="24"/>
        </w:rPr>
        <w:t xml:space="preserve"> представлен сравнительный анализ структуры балансовой стоимости недвижимых активов ПАО Сбербанк и Банка ВТБ (ПАО), включая балансы </w:t>
      </w:r>
      <w:r w:rsidR="00F743BA" w:rsidRPr="007917A1">
        <w:rPr>
          <w:rFonts w:ascii="Times New Roman" w:hAnsi="Times New Roman" w:cs="Times New Roman"/>
          <w:sz w:val="24"/>
          <w:szCs w:val="24"/>
        </w:rPr>
        <w:t>АО «</w:t>
      </w:r>
      <w:r w:rsidR="002E3123" w:rsidRPr="007917A1">
        <w:rPr>
          <w:rFonts w:ascii="Times New Roman" w:hAnsi="Times New Roman" w:cs="Times New Roman"/>
          <w:sz w:val="24"/>
          <w:szCs w:val="24"/>
        </w:rPr>
        <w:t>БМ-</w:t>
      </w:r>
      <w:r w:rsidR="00F743BA" w:rsidRPr="007917A1">
        <w:rPr>
          <w:rFonts w:ascii="Times New Roman" w:hAnsi="Times New Roman" w:cs="Times New Roman"/>
          <w:sz w:val="24"/>
          <w:szCs w:val="24"/>
        </w:rPr>
        <w:t xml:space="preserve">Банк» </w:t>
      </w:r>
      <w:r w:rsidR="009364F3" w:rsidRPr="007917A1">
        <w:rPr>
          <w:rFonts w:ascii="Times New Roman" w:hAnsi="Times New Roman" w:cs="Times New Roman"/>
          <w:sz w:val="24"/>
          <w:szCs w:val="24"/>
        </w:rPr>
        <w:t>на 01.</w:t>
      </w:r>
      <w:r w:rsidR="006B398A" w:rsidRPr="007917A1">
        <w:rPr>
          <w:rFonts w:ascii="Times New Roman" w:hAnsi="Times New Roman" w:cs="Times New Roman"/>
          <w:sz w:val="24"/>
          <w:szCs w:val="24"/>
        </w:rPr>
        <w:t>10</w:t>
      </w:r>
      <w:r w:rsidR="009364F3" w:rsidRPr="007917A1">
        <w:rPr>
          <w:rFonts w:ascii="Times New Roman" w:hAnsi="Times New Roman" w:cs="Times New Roman"/>
          <w:sz w:val="24"/>
          <w:szCs w:val="24"/>
        </w:rPr>
        <w:t>.2018 г.</w:t>
      </w:r>
    </w:p>
    <w:p w:rsidR="00F94C0E" w:rsidRPr="007917A1" w:rsidRDefault="00F743BA" w:rsidP="003A5732">
      <w:pPr>
        <w:keepNext/>
        <w:spacing w:line="360" w:lineRule="auto"/>
        <w:contextualSpacing/>
        <w:jc w:val="both"/>
        <w:rPr>
          <w:rFonts w:ascii="Times New Roman" w:eastAsia="Times New Roman" w:hAnsi="Times New Roman" w:cs="Times New Roman"/>
          <w:b/>
          <w:i/>
          <w:sz w:val="24"/>
          <w:szCs w:val="24"/>
          <w:lang w:eastAsia="ru-RU"/>
        </w:rPr>
      </w:pPr>
      <w:r w:rsidRPr="007917A1">
        <w:rPr>
          <w:rFonts w:ascii="Times New Roman" w:eastAsia="Times New Roman" w:hAnsi="Times New Roman" w:cs="Times New Roman"/>
          <w:b/>
          <w:i/>
          <w:sz w:val="24"/>
          <w:szCs w:val="24"/>
          <w:lang w:eastAsia="ru-RU"/>
        </w:rPr>
        <w:t xml:space="preserve">Рисунок </w:t>
      </w:r>
      <w:r w:rsidRPr="007917A1">
        <w:rPr>
          <w:rFonts w:ascii="Times New Roman" w:eastAsia="Times New Roman" w:hAnsi="Times New Roman" w:cs="Times New Roman"/>
          <w:b/>
          <w:i/>
          <w:sz w:val="24"/>
          <w:szCs w:val="24"/>
          <w:lang w:eastAsia="ru-RU"/>
        </w:rPr>
        <w:fldChar w:fldCharType="begin"/>
      </w:r>
      <w:r w:rsidRPr="007917A1">
        <w:rPr>
          <w:rFonts w:ascii="Times New Roman" w:eastAsia="Times New Roman" w:hAnsi="Times New Roman" w:cs="Times New Roman"/>
          <w:b/>
          <w:i/>
          <w:sz w:val="24"/>
          <w:szCs w:val="24"/>
          <w:lang w:eastAsia="ru-RU"/>
        </w:rPr>
        <w:instrText xml:space="preserve"> SEQ Рисунок \* ARABIC </w:instrText>
      </w:r>
      <w:r w:rsidRPr="007917A1">
        <w:rPr>
          <w:rFonts w:ascii="Times New Roman" w:eastAsia="Times New Roman" w:hAnsi="Times New Roman" w:cs="Times New Roman"/>
          <w:b/>
          <w:i/>
          <w:sz w:val="24"/>
          <w:szCs w:val="24"/>
          <w:lang w:eastAsia="ru-RU"/>
        </w:rPr>
        <w:fldChar w:fldCharType="separate"/>
      </w:r>
      <w:r w:rsidR="004D2C76" w:rsidRPr="007917A1">
        <w:rPr>
          <w:rFonts w:ascii="Times New Roman" w:eastAsia="Times New Roman" w:hAnsi="Times New Roman" w:cs="Times New Roman"/>
          <w:b/>
          <w:i/>
          <w:noProof/>
          <w:sz w:val="24"/>
          <w:szCs w:val="24"/>
          <w:lang w:eastAsia="ru-RU"/>
        </w:rPr>
        <w:t>4</w:t>
      </w:r>
      <w:r w:rsidRPr="007917A1">
        <w:rPr>
          <w:rFonts w:ascii="Times New Roman" w:eastAsia="Times New Roman" w:hAnsi="Times New Roman" w:cs="Times New Roman"/>
          <w:b/>
          <w:i/>
          <w:sz w:val="24"/>
          <w:szCs w:val="24"/>
          <w:lang w:eastAsia="ru-RU"/>
        </w:rPr>
        <w:fldChar w:fldCharType="end"/>
      </w:r>
      <w:r w:rsidRPr="007917A1">
        <w:rPr>
          <w:rFonts w:ascii="Times New Roman" w:eastAsia="Times New Roman" w:hAnsi="Times New Roman" w:cs="Times New Roman"/>
          <w:b/>
          <w:i/>
          <w:sz w:val="24"/>
          <w:szCs w:val="24"/>
          <w:lang w:eastAsia="ru-RU"/>
        </w:rPr>
        <w:t>.</w:t>
      </w:r>
    </w:p>
    <w:p w:rsidR="00F743BA" w:rsidRPr="007917A1" w:rsidRDefault="00F743BA" w:rsidP="003A5732">
      <w:pPr>
        <w:rPr>
          <w:rFonts w:ascii="Times New Roman" w:hAnsi="Times New Roman" w:cs="Times New Roman"/>
          <w:b/>
          <w:sz w:val="24"/>
          <w:szCs w:val="24"/>
        </w:rPr>
      </w:pPr>
      <w:r w:rsidRPr="007917A1">
        <w:rPr>
          <w:rFonts w:ascii="Times New Roman" w:hAnsi="Times New Roman" w:cs="Times New Roman"/>
          <w:b/>
          <w:sz w:val="24"/>
          <w:szCs w:val="24"/>
        </w:rPr>
        <w:t>Стоимостная структура портфелей ПАО Сбербанк и банков Группы ВТБ (Банк</w:t>
      </w:r>
      <w:r w:rsidR="005A309B" w:rsidRPr="007917A1">
        <w:rPr>
          <w:rFonts w:ascii="Times New Roman" w:hAnsi="Times New Roman" w:cs="Times New Roman"/>
          <w:b/>
          <w:sz w:val="24"/>
          <w:szCs w:val="24"/>
        </w:rPr>
        <w:t> </w:t>
      </w:r>
      <w:r w:rsidRPr="007917A1">
        <w:rPr>
          <w:rFonts w:ascii="Times New Roman" w:hAnsi="Times New Roman" w:cs="Times New Roman"/>
          <w:b/>
          <w:sz w:val="24"/>
          <w:szCs w:val="24"/>
        </w:rPr>
        <w:t>ВТБ</w:t>
      </w:r>
      <w:r w:rsidR="005A309B" w:rsidRPr="007917A1">
        <w:rPr>
          <w:rFonts w:ascii="Times New Roman" w:hAnsi="Times New Roman" w:cs="Times New Roman"/>
          <w:b/>
          <w:sz w:val="24"/>
          <w:szCs w:val="24"/>
        </w:rPr>
        <w:t> </w:t>
      </w:r>
      <w:r w:rsidRPr="007917A1">
        <w:rPr>
          <w:rFonts w:ascii="Times New Roman" w:hAnsi="Times New Roman" w:cs="Times New Roman"/>
          <w:b/>
          <w:sz w:val="24"/>
          <w:szCs w:val="24"/>
        </w:rPr>
        <w:t>(ПАО), АО «БМ-Банк»)</w:t>
      </w:r>
    </w:p>
    <w:p w:rsidR="00F94C0E" w:rsidRPr="007917A1" w:rsidRDefault="00F94C0E" w:rsidP="004E5964">
      <w:pPr>
        <w:spacing w:line="360" w:lineRule="auto"/>
        <w:contextualSpacing/>
        <w:jc w:val="both"/>
        <w:rPr>
          <w:rFonts w:ascii="Times New Roman" w:hAnsi="Times New Roman" w:cs="Times New Roman"/>
          <w:sz w:val="24"/>
          <w:szCs w:val="24"/>
        </w:rPr>
      </w:pPr>
      <w:r w:rsidRPr="007917A1">
        <w:rPr>
          <w:rFonts w:ascii="Times New Roman" w:hAnsi="Times New Roman" w:cs="Times New Roman"/>
          <w:noProof/>
          <w:sz w:val="24"/>
          <w:szCs w:val="24"/>
          <w:lang w:eastAsia="ru-RU"/>
        </w:rPr>
        <w:lastRenderedPageBreak/>
        <w:drawing>
          <wp:inline distT="0" distB="0" distL="0" distR="0" wp14:anchorId="59895B77" wp14:editId="0586CAA9">
            <wp:extent cx="5935134" cy="3378200"/>
            <wp:effectExtent l="0" t="0" r="27940" b="1270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49F6" w:rsidRPr="007917A1" w:rsidRDefault="00DE49F6" w:rsidP="004E5964">
      <w:pPr>
        <w:spacing w:line="360" w:lineRule="auto"/>
        <w:contextualSpacing/>
        <w:jc w:val="both"/>
        <w:rPr>
          <w:rFonts w:ascii="Times New Roman" w:hAnsi="Times New Roman" w:cs="Times New Roman"/>
          <w:sz w:val="18"/>
          <w:szCs w:val="18"/>
        </w:rPr>
      </w:pPr>
      <w:r w:rsidRPr="007917A1">
        <w:rPr>
          <w:rFonts w:ascii="Times New Roman" w:hAnsi="Times New Roman" w:cs="Times New Roman"/>
          <w:i/>
          <w:sz w:val="18"/>
          <w:szCs w:val="18"/>
        </w:rPr>
        <w:t xml:space="preserve">Источник: </w:t>
      </w:r>
      <w:r w:rsidR="007E5DA3" w:rsidRPr="007917A1">
        <w:rPr>
          <w:rFonts w:ascii="Times New Roman" w:hAnsi="Times New Roman" w:cs="Times New Roman"/>
          <w:i/>
          <w:sz w:val="18"/>
          <w:szCs w:val="18"/>
        </w:rPr>
        <w:t>расчёты авторов</w:t>
      </w:r>
      <w:r w:rsidR="00FA3583" w:rsidRPr="007917A1">
        <w:rPr>
          <w:rFonts w:ascii="Times New Roman" w:hAnsi="Times New Roman" w:cs="Times New Roman"/>
          <w:i/>
          <w:sz w:val="18"/>
          <w:szCs w:val="18"/>
        </w:rPr>
        <w:t xml:space="preserve"> по данным Банка России</w:t>
      </w:r>
    </w:p>
    <w:p w:rsidR="00A56C9E" w:rsidRPr="007917A1" w:rsidRDefault="00624AB2" w:rsidP="004E5964">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С</w:t>
      </w:r>
      <w:r w:rsidR="00A56C9E" w:rsidRPr="007917A1">
        <w:rPr>
          <w:rFonts w:ascii="Times New Roman" w:hAnsi="Times New Roman" w:cs="Times New Roman"/>
          <w:sz w:val="24"/>
          <w:szCs w:val="24"/>
        </w:rPr>
        <w:t xml:space="preserve">уммарная балансовая стоимость недвижимости указанных банков составляет </w:t>
      </w:r>
      <w:r w:rsidRPr="007917A1">
        <w:rPr>
          <w:rFonts w:ascii="Times New Roman" w:hAnsi="Times New Roman" w:cs="Times New Roman"/>
          <w:sz w:val="24"/>
          <w:szCs w:val="24"/>
        </w:rPr>
        <w:t>оценочно 581,61</w:t>
      </w:r>
      <w:r w:rsidR="00A56C9E" w:rsidRPr="007917A1">
        <w:rPr>
          <w:rFonts w:ascii="Times New Roman" w:hAnsi="Times New Roman" w:cs="Times New Roman"/>
          <w:sz w:val="24"/>
          <w:szCs w:val="24"/>
        </w:rPr>
        <w:t xml:space="preserve"> млрд. или </w:t>
      </w:r>
      <w:r w:rsidRPr="007917A1">
        <w:rPr>
          <w:rFonts w:ascii="Times New Roman" w:hAnsi="Times New Roman" w:cs="Times New Roman"/>
          <w:sz w:val="24"/>
          <w:szCs w:val="24"/>
        </w:rPr>
        <w:t>51,29</w:t>
      </w:r>
      <w:r w:rsidR="00A56C9E" w:rsidRPr="007917A1">
        <w:rPr>
          <w:rFonts w:ascii="Times New Roman" w:hAnsi="Times New Roman" w:cs="Times New Roman"/>
          <w:sz w:val="24"/>
          <w:szCs w:val="24"/>
        </w:rPr>
        <w:t>% от стоимости недвижимости всей банковской системы РФ. Причем структура балансовой стоимости недвижимости у этих банков заметно отличается.</w:t>
      </w:r>
    </w:p>
    <w:p w:rsidR="00E56711" w:rsidRPr="007917A1" w:rsidRDefault="00A56C9E"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 xml:space="preserve">Диаграмма на рисунке </w:t>
      </w:r>
      <w:r w:rsidR="00624AB2" w:rsidRPr="007917A1">
        <w:rPr>
          <w:rFonts w:ascii="Times New Roman" w:hAnsi="Times New Roman" w:cs="Times New Roman"/>
          <w:sz w:val="24"/>
          <w:szCs w:val="24"/>
        </w:rPr>
        <w:t>2</w:t>
      </w:r>
      <w:r w:rsidRPr="007917A1">
        <w:rPr>
          <w:rFonts w:ascii="Times New Roman" w:hAnsi="Times New Roman" w:cs="Times New Roman"/>
          <w:sz w:val="24"/>
          <w:szCs w:val="24"/>
        </w:rPr>
        <w:t xml:space="preserve"> наглядно показывает, что подавляющая доля недвижимых активов ПАО Сбербанк </w:t>
      </w:r>
      <w:r w:rsidR="00AB2EE8" w:rsidRPr="007917A1">
        <w:rPr>
          <w:rFonts w:ascii="Times New Roman" w:hAnsi="Times New Roman" w:cs="Times New Roman"/>
          <w:sz w:val="24"/>
          <w:szCs w:val="24"/>
        </w:rPr>
        <w:t>(</w:t>
      </w:r>
      <w:r w:rsidR="00844F58" w:rsidRPr="007917A1">
        <w:rPr>
          <w:rFonts w:ascii="Times New Roman" w:hAnsi="Times New Roman" w:cs="Times New Roman"/>
          <w:sz w:val="24"/>
          <w:szCs w:val="24"/>
        </w:rPr>
        <w:t>95,93</w:t>
      </w:r>
      <w:r w:rsidR="00AB2EE8" w:rsidRPr="007917A1">
        <w:rPr>
          <w:rFonts w:ascii="Times New Roman" w:hAnsi="Times New Roman" w:cs="Times New Roman"/>
          <w:sz w:val="24"/>
          <w:szCs w:val="24"/>
        </w:rPr>
        <w:t xml:space="preserve">%) </w:t>
      </w:r>
      <w:r w:rsidRPr="007917A1">
        <w:rPr>
          <w:rFonts w:ascii="Times New Roman" w:hAnsi="Times New Roman" w:cs="Times New Roman"/>
          <w:sz w:val="24"/>
          <w:szCs w:val="24"/>
        </w:rPr>
        <w:t>представлена основными средствами</w:t>
      </w:r>
      <w:r w:rsidR="00AB2EE8" w:rsidRPr="007917A1">
        <w:rPr>
          <w:rFonts w:ascii="Times New Roman" w:hAnsi="Times New Roman" w:cs="Times New Roman"/>
          <w:sz w:val="24"/>
          <w:szCs w:val="24"/>
        </w:rPr>
        <w:t>, в то время как у Банка ВТБ (ПАО), как видно из д</w:t>
      </w:r>
      <w:r w:rsidR="008E1F57" w:rsidRPr="007917A1">
        <w:rPr>
          <w:rFonts w:ascii="Times New Roman" w:hAnsi="Times New Roman" w:cs="Times New Roman"/>
          <w:sz w:val="24"/>
          <w:szCs w:val="24"/>
        </w:rPr>
        <w:t>и</w:t>
      </w:r>
      <w:r w:rsidR="00AB2EE8" w:rsidRPr="007917A1">
        <w:rPr>
          <w:rFonts w:ascii="Times New Roman" w:hAnsi="Times New Roman" w:cs="Times New Roman"/>
          <w:sz w:val="24"/>
          <w:szCs w:val="24"/>
        </w:rPr>
        <w:t xml:space="preserve">аграммы на рисунке </w:t>
      </w:r>
      <w:r w:rsidR="00665906" w:rsidRPr="007917A1">
        <w:rPr>
          <w:rFonts w:ascii="Times New Roman" w:hAnsi="Times New Roman" w:cs="Times New Roman"/>
          <w:sz w:val="24"/>
          <w:szCs w:val="24"/>
        </w:rPr>
        <w:t>3</w:t>
      </w:r>
      <w:r w:rsidR="00AB2EE8" w:rsidRPr="007917A1">
        <w:rPr>
          <w:rFonts w:ascii="Times New Roman" w:hAnsi="Times New Roman" w:cs="Times New Roman"/>
          <w:sz w:val="24"/>
          <w:szCs w:val="24"/>
        </w:rPr>
        <w:t xml:space="preserve">, основные средства составляют только </w:t>
      </w:r>
      <w:r w:rsidR="00844F58" w:rsidRPr="007917A1">
        <w:rPr>
          <w:rFonts w:ascii="Times New Roman" w:hAnsi="Times New Roman" w:cs="Times New Roman"/>
          <w:sz w:val="24"/>
          <w:szCs w:val="24"/>
        </w:rPr>
        <w:t>46,88</w:t>
      </w:r>
      <w:r w:rsidR="00AB2EE8" w:rsidRPr="007917A1">
        <w:rPr>
          <w:rFonts w:ascii="Times New Roman" w:hAnsi="Times New Roman" w:cs="Times New Roman"/>
          <w:sz w:val="24"/>
          <w:szCs w:val="24"/>
        </w:rPr>
        <w:t xml:space="preserve">% балансовой стоимости недвижимых активов, </w:t>
      </w:r>
      <w:r w:rsidR="00844F58" w:rsidRPr="007917A1">
        <w:rPr>
          <w:rFonts w:ascii="Times New Roman" w:hAnsi="Times New Roman" w:cs="Times New Roman"/>
          <w:sz w:val="24"/>
          <w:szCs w:val="24"/>
        </w:rPr>
        <w:t>2,59</w:t>
      </w:r>
      <w:r w:rsidR="00AB2EE8" w:rsidRPr="007917A1">
        <w:rPr>
          <w:rFonts w:ascii="Times New Roman" w:hAnsi="Times New Roman" w:cs="Times New Roman"/>
          <w:sz w:val="24"/>
          <w:szCs w:val="24"/>
        </w:rPr>
        <w:t xml:space="preserve">% представлены </w:t>
      </w:r>
      <w:r w:rsidR="000424B1" w:rsidRPr="007917A1">
        <w:rPr>
          <w:rFonts w:ascii="Times New Roman" w:hAnsi="Times New Roman" w:cs="Times New Roman"/>
          <w:sz w:val="24"/>
          <w:szCs w:val="24"/>
        </w:rPr>
        <w:t xml:space="preserve">в активах, предназначенных для продажи </w:t>
      </w:r>
      <w:r w:rsidR="00AB2EE8" w:rsidRPr="007917A1">
        <w:rPr>
          <w:rFonts w:ascii="Times New Roman" w:hAnsi="Times New Roman" w:cs="Times New Roman"/>
          <w:sz w:val="24"/>
          <w:szCs w:val="24"/>
        </w:rPr>
        <w:t xml:space="preserve">и </w:t>
      </w:r>
      <w:r w:rsidR="008E1F57" w:rsidRPr="007917A1">
        <w:rPr>
          <w:rFonts w:ascii="Times New Roman" w:hAnsi="Times New Roman" w:cs="Times New Roman"/>
          <w:sz w:val="24"/>
          <w:szCs w:val="24"/>
        </w:rPr>
        <w:t xml:space="preserve">целых </w:t>
      </w:r>
      <w:r w:rsidR="00844F58" w:rsidRPr="007917A1">
        <w:rPr>
          <w:rFonts w:ascii="Times New Roman" w:hAnsi="Times New Roman" w:cs="Times New Roman"/>
          <w:sz w:val="24"/>
          <w:szCs w:val="24"/>
        </w:rPr>
        <w:t>52,27</w:t>
      </w:r>
      <w:r w:rsidR="00AB2EE8" w:rsidRPr="007917A1">
        <w:rPr>
          <w:rFonts w:ascii="Times New Roman" w:hAnsi="Times New Roman" w:cs="Times New Roman"/>
          <w:sz w:val="24"/>
          <w:szCs w:val="24"/>
        </w:rPr>
        <w:t xml:space="preserve">% </w:t>
      </w:r>
      <w:r w:rsidR="008E1F57" w:rsidRPr="007917A1">
        <w:rPr>
          <w:rFonts w:ascii="Times New Roman" w:hAnsi="Times New Roman" w:cs="Times New Roman"/>
          <w:sz w:val="24"/>
          <w:szCs w:val="24"/>
        </w:rPr>
        <w:t xml:space="preserve">составляет </w:t>
      </w:r>
      <w:r w:rsidR="00AB2EE8" w:rsidRPr="007917A1">
        <w:rPr>
          <w:rFonts w:ascii="Times New Roman" w:hAnsi="Times New Roman" w:cs="Times New Roman"/>
          <w:sz w:val="24"/>
          <w:szCs w:val="24"/>
        </w:rPr>
        <w:t>недвижимость, временно неиспользуем</w:t>
      </w:r>
      <w:r w:rsidR="008E1F57" w:rsidRPr="007917A1">
        <w:rPr>
          <w:rFonts w:ascii="Times New Roman" w:hAnsi="Times New Roman" w:cs="Times New Roman"/>
          <w:sz w:val="24"/>
          <w:szCs w:val="24"/>
        </w:rPr>
        <w:t>ая</w:t>
      </w:r>
      <w:r w:rsidR="00AB2EE8" w:rsidRPr="007917A1">
        <w:rPr>
          <w:rFonts w:ascii="Times New Roman" w:hAnsi="Times New Roman" w:cs="Times New Roman"/>
          <w:sz w:val="24"/>
          <w:szCs w:val="24"/>
        </w:rPr>
        <w:t xml:space="preserve"> в основной деятельности.</w:t>
      </w:r>
      <w:bookmarkEnd w:id="2"/>
      <w:r w:rsidR="002C17F7" w:rsidRPr="007917A1">
        <w:rPr>
          <w:rFonts w:ascii="Times New Roman" w:hAnsi="Times New Roman" w:cs="Times New Roman"/>
          <w:sz w:val="24"/>
          <w:szCs w:val="24"/>
        </w:rPr>
        <w:t xml:space="preserve"> </w:t>
      </w:r>
      <w:r w:rsidR="00E56711" w:rsidRPr="007917A1">
        <w:rPr>
          <w:rFonts w:ascii="Times New Roman" w:hAnsi="Times New Roman" w:cs="Times New Roman"/>
          <w:sz w:val="24"/>
          <w:szCs w:val="24"/>
        </w:rPr>
        <w:t>Справедливо предположить, что в управлении портфелем недвижимости Банка ВТБ (ПАО)</w:t>
      </w:r>
      <w:r w:rsidR="0031324D" w:rsidRPr="007917A1">
        <w:rPr>
          <w:rFonts w:ascii="Times New Roman" w:hAnsi="Times New Roman" w:cs="Times New Roman"/>
          <w:sz w:val="24"/>
          <w:szCs w:val="24"/>
        </w:rPr>
        <w:t>, по сравнению с портфелем ПАО Сбербанк,</w:t>
      </w:r>
      <w:r w:rsidR="00E56711" w:rsidRPr="007917A1">
        <w:rPr>
          <w:rFonts w:ascii="Times New Roman" w:hAnsi="Times New Roman" w:cs="Times New Roman"/>
          <w:sz w:val="24"/>
          <w:szCs w:val="24"/>
        </w:rPr>
        <w:t xml:space="preserve"> имеют место </w:t>
      </w:r>
      <w:r w:rsidR="00435502" w:rsidRPr="007917A1">
        <w:rPr>
          <w:rFonts w:ascii="Times New Roman" w:hAnsi="Times New Roman" w:cs="Times New Roman"/>
          <w:sz w:val="24"/>
          <w:szCs w:val="24"/>
        </w:rPr>
        <w:t xml:space="preserve">потенциально более </w:t>
      </w:r>
      <w:r w:rsidR="00E56711" w:rsidRPr="007917A1">
        <w:rPr>
          <w:rFonts w:ascii="Times New Roman" w:hAnsi="Times New Roman" w:cs="Times New Roman"/>
          <w:sz w:val="24"/>
          <w:szCs w:val="24"/>
        </w:rPr>
        <w:t xml:space="preserve">значительные риски убытков вследствие неэффективных затрат и обременений в составе стоимости владения значительной долей непрофильных активов, а также </w:t>
      </w:r>
      <w:r w:rsidR="006E3923" w:rsidRPr="007917A1">
        <w:rPr>
          <w:rFonts w:ascii="Times New Roman" w:hAnsi="Times New Roman" w:cs="Times New Roman"/>
          <w:sz w:val="24"/>
          <w:szCs w:val="24"/>
        </w:rPr>
        <w:t>вероятного</w:t>
      </w:r>
      <w:r w:rsidR="00435502" w:rsidRPr="007917A1">
        <w:rPr>
          <w:rFonts w:ascii="Times New Roman" w:hAnsi="Times New Roman" w:cs="Times New Roman"/>
          <w:sz w:val="24"/>
          <w:szCs w:val="24"/>
        </w:rPr>
        <w:t xml:space="preserve"> </w:t>
      </w:r>
      <w:r w:rsidR="00E56711" w:rsidRPr="007917A1">
        <w:rPr>
          <w:rFonts w:ascii="Times New Roman" w:hAnsi="Times New Roman" w:cs="Times New Roman"/>
          <w:sz w:val="24"/>
          <w:szCs w:val="24"/>
        </w:rPr>
        <w:t xml:space="preserve">рыночного обесценивания </w:t>
      </w:r>
      <w:r w:rsidR="0031324D" w:rsidRPr="007917A1">
        <w:rPr>
          <w:rFonts w:ascii="Times New Roman" w:hAnsi="Times New Roman" w:cs="Times New Roman"/>
          <w:sz w:val="24"/>
          <w:szCs w:val="24"/>
        </w:rPr>
        <w:t>объектов, эксплуатируемых без</w:t>
      </w:r>
      <w:r w:rsidR="00EE4F81" w:rsidRPr="007917A1">
        <w:rPr>
          <w:rFonts w:ascii="Times New Roman" w:hAnsi="Times New Roman" w:cs="Times New Roman"/>
          <w:sz w:val="24"/>
          <w:szCs w:val="24"/>
        </w:rPr>
        <w:t xml:space="preserve"> системного</w:t>
      </w:r>
      <w:r w:rsidR="0031324D" w:rsidRPr="007917A1">
        <w:rPr>
          <w:rFonts w:ascii="Times New Roman" w:hAnsi="Times New Roman" w:cs="Times New Roman"/>
          <w:sz w:val="24"/>
          <w:szCs w:val="24"/>
        </w:rPr>
        <w:t xml:space="preserve"> учета концепции наиболее эффективного использования (НЭИ).</w:t>
      </w:r>
    </w:p>
    <w:p w:rsidR="0031324D" w:rsidRPr="007917A1" w:rsidRDefault="00140418"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Приведенный пример позволяет сделать вывод о необходимости разработки методологии стоимостного управления портфелями недвижимости банков в интересах повышения финансовой устойчивости банковской системы России.</w:t>
      </w:r>
    </w:p>
    <w:p w:rsidR="00140418" w:rsidRPr="007917A1" w:rsidRDefault="00140418" w:rsidP="004B41CB">
      <w:pPr>
        <w:spacing w:before="120" w:after="0" w:line="360" w:lineRule="auto"/>
        <w:rPr>
          <w:rFonts w:ascii="Times New Roman" w:eastAsia="Times New Roman" w:hAnsi="Times New Roman" w:cs="Times New Roman"/>
          <w:b/>
          <w:sz w:val="24"/>
          <w:szCs w:val="24"/>
          <w:lang w:eastAsia="ru-RU"/>
        </w:rPr>
      </w:pPr>
      <w:r w:rsidRPr="007917A1">
        <w:rPr>
          <w:rFonts w:ascii="Times New Roman" w:eastAsia="Times New Roman" w:hAnsi="Times New Roman" w:cs="Times New Roman"/>
          <w:b/>
          <w:sz w:val="24"/>
          <w:szCs w:val="24"/>
          <w:lang w:eastAsia="ru-RU"/>
        </w:rPr>
        <w:t>Некоторые предложения по разрабо</w:t>
      </w:r>
      <w:r w:rsidR="006E3596" w:rsidRPr="007917A1">
        <w:rPr>
          <w:rFonts w:ascii="Times New Roman" w:eastAsia="Times New Roman" w:hAnsi="Times New Roman" w:cs="Times New Roman"/>
          <w:b/>
          <w:sz w:val="24"/>
          <w:szCs w:val="24"/>
          <w:lang w:eastAsia="ru-RU"/>
        </w:rPr>
        <w:t>т</w:t>
      </w:r>
      <w:r w:rsidRPr="007917A1">
        <w:rPr>
          <w:rFonts w:ascii="Times New Roman" w:eastAsia="Times New Roman" w:hAnsi="Times New Roman" w:cs="Times New Roman"/>
          <w:b/>
          <w:sz w:val="24"/>
          <w:szCs w:val="24"/>
          <w:lang w:eastAsia="ru-RU"/>
        </w:rPr>
        <w:t xml:space="preserve">ке методологии </w:t>
      </w:r>
      <w:r w:rsidR="006E3596" w:rsidRPr="007917A1">
        <w:rPr>
          <w:rFonts w:ascii="Times New Roman" w:eastAsia="Times New Roman" w:hAnsi="Times New Roman" w:cs="Times New Roman"/>
          <w:b/>
          <w:sz w:val="24"/>
          <w:szCs w:val="24"/>
          <w:lang w:eastAsia="ru-RU"/>
        </w:rPr>
        <w:t xml:space="preserve">стратегического </w:t>
      </w:r>
      <w:r w:rsidRPr="007917A1">
        <w:rPr>
          <w:rFonts w:ascii="Times New Roman" w:eastAsia="Times New Roman" w:hAnsi="Times New Roman" w:cs="Times New Roman"/>
          <w:b/>
          <w:sz w:val="24"/>
          <w:szCs w:val="24"/>
          <w:lang w:eastAsia="ru-RU"/>
        </w:rPr>
        <w:t xml:space="preserve">стоимостного управления </w:t>
      </w:r>
      <w:r w:rsidR="001E4F11" w:rsidRPr="007917A1">
        <w:rPr>
          <w:rFonts w:ascii="Times New Roman" w:eastAsia="Times New Roman" w:hAnsi="Times New Roman" w:cs="Times New Roman"/>
          <w:b/>
          <w:sz w:val="24"/>
          <w:szCs w:val="24"/>
          <w:lang w:eastAsia="ru-RU"/>
        </w:rPr>
        <w:t xml:space="preserve">портфелями недвижимости </w:t>
      </w:r>
      <w:r w:rsidRPr="007917A1">
        <w:rPr>
          <w:rFonts w:ascii="Times New Roman" w:eastAsia="Times New Roman" w:hAnsi="Times New Roman" w:cs="Times New Roman"/>
          <w:b/>
          <w:sz w:val="24"/>
          <w:szCs w:val="24"/>
          <w:lang w:eastAsia="ru-RU"/>
        </w:rPr>
        <w:t>банков</w:t>
      </w:r>
    </w:p>
    <w:p w:rsidR="001F2C2A" w:rsidRPr="007917A1" w:rsidRDefault="001F2C2A"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lastRenderedPageBreak/>
        <w:t xml:space="preserve">Как видно из изложенного выше в предыдущих разделах настоящей работы, недвижимость играет важную и многостороннюю роль в банковской системе, объекты в собственности или аренде банка предназначенные для использования в основной деятельности формируют часть его капитала (в частности за счёт включения переоценки </w:t>
      </w:r>
      <w:r w:rsidR="005B418E" w:rsidRPr="007917A1">
        <w:rPr>
          <w:rFonts w:ascii="Times New Roman" w:hAnsi="Times New Roman" w:cs="Times New Roman"/>
          <w:sz w:val="24"/>
          <w:szCs w:val="24"/>
        </w:rPr>
        <w:t xml:space="preserve">основных средств </w:t>
      </w:r>
      <w:r w:rsidRPr="007917A1">
        <w:rPr>
          <w:rFonts w:ascii="Times New Roman" w:hAnsi="Times New Roman" w:cs="Times New Roman"/>
          <w:sz w:val="24"/>
          <w:szCs w:val="24"/>
        </w:rPr>
        <w:t xml:space="preserve">в состав капитала второго уровня) и представляют вторую по размеру статью расходов после расходов на персонал  (традиционно в западной литературе данная категория обозначается как  корпоративная недвижимость). </w:t>
      </w:r>
    </w:p>
    <w:p w:rsidR="001F2C2A" w:rsidRPr="007917A1" w:rsidRDefault="001F2C2A"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 xml:space="preserve">С другой стороны, недвижимость поступающая в рамках урегулирования проблемной задолженности может также увеличивать портфель недвижимости и создавать дополнительную нагрузку на капитал при невозможности её реализации и установления справедливой стоимости за счёт необходимости формирования дополнительных резервов (залоговая недвижимость). </w:t>
      </w:r>
    </w:p>
    <w:p w:rsidR="001F2C2A" w:rsidRPr="007917A1" w:rsidRDefault="001F2C2A"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 xml:space="preserve">Кроме того, в особенности в свете кризисных явлений, банки всё чаще в целях повышения ликвидности выделяют в </w:t>
      </w:r>
      <w:r w:rsidR="00F41879" w:rsidRPr="007917A1">
        <w:rPr>
          <w:rFonts w:ascii="Times New Roman" w:hAnsi="Times New Roman" w:cs="Times New Roman"/>
          <w:sz w:val="24"/>
          <w:szCs w:val="24"/>
        </w:rPr>
        <w:t xml:space="preserve">консолидированной </w:t>
      </w:r>
      <w:r w:rsidRPr="007917A1">
        <w:rPr>
          <w:rFonts w:ascii="Times New Roman" w:hAnsi="Times New Roman" w:cs="Times New Roman"/>
          <w:sz w:val="24"/>
          <w:szCs w:val="24"/>
        </w:rPr>
        <w:t xml:space="preserve">отчётности </w:t>
      </w:r>
      <w:r w:rsidR="00F41879" w:rsidRPr="007917A1">
        <w:rPr>
          <w:rFonts w:ascii="Times New Roman" w:hAnsi="Times New Roman" w:cs="Times New Roman"/>
          <w:sz w:val="24"/>
          <w:szCs w:val="24"/>
        </w:rPr>
        <w:t xml:space="preserve">по МСФО </w:t>
      </w:r>
      <w:r w:rsidRPr="007917A1">
        <w:rPr>
          <w:rFonts w:ascii="Times New Roman" w:hAnsi="Times New Roman" w:cs="Times New Roman"/>
          <w:sz w:val="24"/>
          <w:szCs w:val="24"/>
        </w:rPr>
        <w:t xml:space="preserve">отдельную категорию недвижимости, а именно инвестиционную недвижимость – портфель которой предназначен для получения арендных доходов и улучшения банковских нормативов от повышения стоимости. </w:t>
      </w:r>
    </w:p>
    <w:p w:rsidR="001F2C2A" w:rsidRPr="007917A1" w:rsidRDefault="001F2C2A"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Указанные категории имеют свои особенности и инструментарий управления, и, кроме того, по-разному учитываются в бухгалтерском и управленческом учёте банковских организаций (корпоративная недвижимость в составе основных средств за минусом накопленной амортизации, инвестиционная – на базе текущей справедливой стоимости на основе рыночной оценки (как правило, у ведущих профессиональных участников рынка недвижимости).</w:t>
      </w:r>
    </w:p>
    <w:p w:rsidR="00140418" w:rsidRPr="007917A1" w:rsidRDefault="001F2C2A"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Указанная многогранная роль недвижимости как актива в банковской отрасли, подчеркивает необходимость научно обоснованного компетентного управления портфелем для предотвращения рисков неустойчивости национальной банковской системы, применения системного подхода к решению задач управления портфелем, анализу и управлению рисками изменения её стоимости.</w:t>
      </w:r>
    </w:p>
    <w:p w:rsidR="00C82BF7" w:rsidRPr="007917A1" w:rsidRDefault="00C82BF7"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 xml:space="preserve">Предлагаемая стратегия формирования и развития портфеля недвижимости (ПН) банка – система комплексного стоимостного управления недвижимым имуществом как частью активов, направленная на обеспечение интересов акционеров банка путем выполнения следующих условий: </w:t>
      </w:r>
    </w:p>
    <w:p w:rsidR="00C82BF7" w:rsidRPr="007917A1" w:rsidRDefault="00C82BF7" w:rsidP="004B41CB">
      <w:pPr>
        <w:pStyle w:val="a5"/>
        <w:numPr>
          <w:ilvl w:val="0"/>
          <w:numId w:val="34"/>
        </w:numPr>
        <w:spacing w:line="360" w:lineRule="auto"/>
        <w:ind w:left="567" w:hanging="567"/>
        <w:jc w:val="both"/>
        <w:rPr>
          <w:rFonts w:ascii="Times New Roman" w:hAnsi="Times New Roman" w:cs="Times New Roman"/>
          <w:sz w:val="24"/>
          <w:szCs w:val="24"/>
        </w:rPr>
      </w:pPr>
      <w:r w:rsidRPr="007917A1">
        <w:rPr>
          <w:rFonts w:ascii="Times New Roman" w:hAnsi="Times New Roman" w:cs="Times New Roman"/>
          <w:sz w:val="24"/>
          <w:szCs w:val="24"/>
        </w:rPr>
        <w:t>количественный и качественный состав объектов ПН является необходимым и достаточным для операционной деятельности и согласованного акционерами перспективного развития на заданный период;</w:t>
      </w:r>
    </w:p>
    <w:p w:rsidR="00C82BF7" w:rsidRPr="007917A1" w:rsidRDefault="00C82BF7" w:rsidP="004B41CB">
      <w:pPr>
        <w:pStyle w:val="a5"/>
        <w:numPr>
          <w:ilvl w:val="0"/>
          <w:numId w:val="34"/>
        </w:numPr>
        <w:spacing w:line="360" w:lineRule="auto"/>
        <w:ind w:left="567" w:hanging="567"/>
        <w:jc w:val="both"/>
        <w:rPr>
          <w:rFonts w:ascii="Times New Roman" w:hAnsi="Times New Roman" w:cs="Times New Roman"/>
          <w:sz w:val="24"/>
          <w:szCs w:val="24"/>
        </w:rPr>
      </w:pPr>
      <w:r w:rsidRPr="007917A1">
        <w:rPr>
          <w:rFonts w:ascii="Times New Roman" w:hAnsi="Times New Roman" w:cs="Times New Roman"/>
          <w:sz w:val="24"/>
          <w:szCs w:val="24"/>
        </w:rPr>
        <w:lastRenderedPageBreak/>
        <w:t>текущая рентабельность вложенного в ПН капитала (капитальные затраты + операционные расходы) положительна;</w:t>
      </w:r>
    </w:p>
    <w:p w:rsidR="00C82BF7" w:rsidRPr="007917A1" w:rsidRDefault="00C82BF7" w:rsidP="004B41CB">
      <w:pPr>
        <w:pStyle w:val="a5"/>
        <w:numPr>
          <w:ilvl w:val="0"/>
          <w:numId w:val="34"/>
        </w:numPr>
        <w:spacing w:line="360" w:lineRule="auto"/>
        <w:ind w:left="567" w:hanging="567"/>
        <w:jc w:val="both"/>
        <w:rPr>
          <w:rFonts w:ascii="Times New Roman" w:hAnsi="Times New Roman" w:cs="Times New Roman"/>
          <w:sz w:val="24"/>
          <w:szCs w:val="24"/>
        </w:rPr>
      </w:pPr>
      <w:r w:rsidRPr="007917A1">
        <w:rPr>
          <w:rFonts w:ascii="Times New Roman" w:hAnsi="Times New Roman" w:cs="Times New Roman"/>
          <w:sz w:val="24"/>
          <w:szCs w:val="24"/>
        </w:rPr>
        <w:t>ликвидность и рыночная стоимость каждого объекта ПН отчуждении (выбытии) максимальна в варианте НЭИ для данного локального рынка (каждый объект ПН относится к первоклассной недвижимости в соответствующем сегменте каждого локального рынка);</w:t>
      </w:r>
    </w:p>
    <w:p w:rsidR="00C82BF7" w:rsidRPr="007917A1" w:rsidRDefault="00C82BF7" w:rsidP="004B41CB">
      <w:pPr>
        <w:pStyle w:val="a5"/>
        <w:numPr>
          <w:ilvl w:val="0"/>
          <w:numId w:val="34"/>
        </w:numPr>
        <w:spacing w:line="360" w:lineRule="auto"/>
        <w:ind w:left="567" w:hanging="567"/>
        <w:jc w:val="both"/>
        <w:rPr>
          <w:rFonts w:ascii="Times New Roman" w:hAnsi="Times New Roman" w:cs="Times New Roman"/>
          <w:sz w:val="24"/>
          <w:szCs w:val="24"/>
        </w:rPr>
      </w:pPr>
      <w:r w:rsidRPr="007917A1">
        <w:rPr>
          <w:rFonts w:ascii="Times New Roman" w:hAnsi="Times New Roman" w:cs="Times New Roman"/>
          <w:sz w:val="24"/>
          <w:szCs w:val="24"/>
        </w:rPr>
        <w:t>все объекты ПН, необходимые для операционной деятельности, но не являющиеся первоклассной недвижимостью для данного локального рынка, переведены из режима владения (собственности) в режим аренды;</w:t>
      </w:r>
    </w:p>
    <w:p w:rsidR="00C82BF7" w:rsidRPr="007917A1" w:rsidRDefault="00C82BF7" w:rsidP="004B41CB">
      <w:pPr>
        <w:pStyle w:val="a5"/>
        <w:numPr>
          <w:ilvl w:val="0"/>
          <w:numId w:val="34"/>
        </w:numPr>
        <w:spacing w:line="360" w:lineRule="auto"/>
        <w:ind w:left="567" w:hanging="567"/>
        <w:jc w:val="both"/>
        <w:rPr>
          <w:rFonts w:ascii="Times New Roman" w:hAnsi="Times New Roman" w:cs="Times New Roman"/>
          <w:sz w:val="24"/>
          <w:szCs w:val="24"/>
        </w:rPr>
      </w:pPr>
      <w:r w:rsidRPr="007917A1">
        <w:rPr>
          <w:rFonts w:ascii="Times New Roman" w:hAnsi="Times New Roman" w:cs="Times New Roman"/>
          <w:sz w:val="24"/>
          <w:szCs w:val="24"/>
        </w:rPr>
        <w:t xml:space="preserve">проектирование, строительство (реконструкция), инженерное оснащение и техническая эксплуатация всех объектов ПН осуществляются централизовано, в соответствии с утвержденными корпоративными стандартами, обеспечивающими имиджевую функцию ПН банка на современном уровне (технологичность, инновационность, эргономичность, экологичность, энергоэффективность, экономичность и эстетичность). </w:t>
      </w:r>
    </w:p>
    <w:p w:rsidR="00C82BF7" w:rsidRPr="007917A1" w:rsidRDefault="00C82BF7"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 xml:space="preserve">Предлагаемые целевые индикаторы ПН представлены в </w:t>
      </w:r>
      <w:r w:rsidR="00E737FB" w:rsidRPr="007917A1">
        <w:rPr>
          <w:rFonts w:ascii="Times New Roman" w:hAnsi="Times New Roman" w:cs="Times New Roman"/>
          <w:sz w:val="24"/>
          <w:szCs w:val="24"/>
        </w:rPr>
        <w:t>Т</w:t>
      </w:r>
      <w:r w:rsidRPr="007917A1">
        <w:rPr>
          <w:rFonts w:ascii="Times New Roman" w:hAnsi="Times New Roman" w:cs="Times New Roman"/>
          <w:sz w:val="24"/>
          <w:szCs w:val="24"/>
        </w:rPr>
        <w:t xml:space="preserve">аблице </w:t>
      </w:r>
      <w:r w:rsidR="00A17437" w:rsidRPr="007917A1">
        <w:rPr>
          <w:rFonts w:ascii="Times New Roman" w:hAnsi="Times New Roman" w:cs="Times New Roman"/>
          <w:sz w:val="24"/>
          <w:szCs w:val="24"/>
        </w:rPr>
        <w:t>1</w:t>
      </w:r>
      <w:r w:rsidR="00A660B7" w:rsidRPr="007917A1">
        <w:rPr>
          <w:rFonts w:ascii="Times New Roman" w:hAnsi="Times New Roman" w:cs="Times New Roman"/>
          <w:sz w:val="24"/>
          <w:szCs w:val="24"/>
        </w:rPr>
        <w:t xml:space="preserve"> </w:t>
      </w:r>
      <w:r w:rsidR="00004DD8" w:rsidRPr="007917A1">
        <w:rPr>
          <w:rFonts w:ascii="Times New Roman" w:hAnsi="Times New Roman" w:cs="Times New Roman"/>
          <w:sz w:val="24"/>
          <w:szCs w:val="24"/>
        </w:rPr>
        <w:t>(по аналогии со сбалансированной системой показателе</w:t>
      </w:r>
      <w:r w:rsidR="00FB5F7C" w:rsidRPr="007917A1">
        <w:rPr>
          <w:rFonts w:ascii="Times New Roman" w:hAnsi="Times New Roman" w:cs="Times New Roman"/>
          <w:sz w:val="24"/>
          <w:szCs w:val="24"/>
        </w:rPr>
        <w:t xml:space="preserve">й по корпоративной недвижимости, принятой в западной практике </w:t>
      </w:r>
      <w:r w:rsidR="00004DD8" w:rsidRPr="007917A1">
        <w:rPr>
          <w:rFonts w:ascii="Times New Roman" w:hAnsi="Times New Roman" w:cs="Times New Roman"/>
          <w:sz w:val="24"/>
          <w:szCs w:val="24"/>
        </w:rPr>
        <w:t>[</w:t>
      </w:r>
      <w:r w:rsidR="00B72264" w:rsidRPr="007917A1">
        <w:rPr>
          <w:rFonts w:ascii="Times New Roman" w:hAnsi="Times New Roman" w:cs="Times New Roman"/>
          <w:sz w:val="24"/>
          <w:szCs w:val="24"/>
        </w:rPr>
        <w:fldChar w:fldCharType="begin"/>
      </w:r>
      <w:r w:rsidR="00B72264" w:rsidRPr="007917A1">
        <w:rPr>
          <w:rFonts w:ascii="Times New Roman" w:hAnsi="Times New Roman" w:cs="Times New Roman"/>
          <w:sz w:val="24"/>
          <w:szCs w:val="24"/>
        </w:rPr>
        <w:instrText xml:space="preserve"> REF _Ref529181840 \r \h </w:instrText>
      </w:r>
      <w:r w:rsidR="00B72264" w:rsidRPr="007917A1">
        <w:rPr>
          <w:rFonts w:ascii="Times New Roman" w:hAnsi="Times New Roman" w:cs="Times New Roman"/>
          <w:sz w:val="24"/>
          <w:szCs w:val="24"/>
        </w:rPr>
      </w:r>
      <w:r w:rsidR="007917A1">
        <w:rPr>
          <w:rFonts w:ascii="Times New Roman" w:hAnsi="Times New Roman" w:cs="Times New Roman"/>
          <w:sz w:val="24"/>
          <w:szCs w:val="24"/>
        </w:rPr>
        <w:instrText xml:space="preserve"> \* MERGEFORMAT </w:instrText>
      </w:r>
      <w:r w:rsidR="00B72264" w:rsidRPr="007917A1">
        <w:rPr>
          <w:rFonts w:ascii="Times New Roman" w:hAnsi="Times New Roman" w:cs="Times New Roman"/>
          <w:sz w:val="24"/>
          <w:szCs w:val="24"/>
        </w:rPr>
        <w:fldChar w:fldCharType="separate"/>
      </w:r>
      <w:r w:rsidR="001E21DB" w:rsidRPr="007917A1">
        <w:rPr>
          <w:rFonts w:ascii="Times New Roman" w:hAnsi="Times New Roman" w:cs="Times New Roman"/>
          <w:sz w:val="24"/>
          <w:szCs w:val="24"/>
        </w:rPr>
        <w:t>19</w:t>
      </w:r>
      <w:r w:rsidR="00B72264" w:rsidRPr="007917A1">
        <w:rPr>
          <w:rFonts w:ascii="Times New Roman" w:hAnsi="Times New Roman" w:cs="Times New Roman"/>
          <w:sz w:val="24"/>
          <w:szCs w:val="24"/>
        </w:rPr>
        <w:fldChar w:fldCharType="end"/>
      </w:r>
      <w:r w:rsidR="00004DD8" w:rsidRPr="007917A1">
        <w:rPr>
          <w:rFonts w:ascii="Times New Roman" w:hAnsi="Times New Roman" w:cs="Times New Roman"/>
          <w:sz w:val="24"/>
          <w:szCs w:val="24"/>
        </w:rPr>
        <w:t>]</w:t>
      </w:r>
      <w:r w:rsidR="0036506D" w:rsidRPr="007917A1">
        <w:rPr>
          <w:rFonts w:ascii="Times New Roman" w:hAnsi="Times New Roman" w:cs="Times New Roman"/>
          <w:sz w:val="24"/>
          <w:szCs w:val="24"/>
        </w:rPr>
        <w:t>, [</w:t>
      </w:r>
      <w:r w:rsidR="0036506D" w:rsidRPr="007917A1">
        <w:rPr>
          <w:rFonts w:ascii="Times New Roman" w:hAnsi="Times New Roman" w:cs="Times New Roman"/>
          <w:sz w:val="24"/>
          <w:szCs w:val="24"/>
        </w:rPr>
        <w:fldChar w:fldCharType="begin"/>
      </w:r>
      <w:r w:rsidR="0036506D" w:rsidRPr="007917A1">
        <w:rPr>
          <w:rFonts w:ascii="Times New Roman" w:hAnsi="Times New Roman" w:cs="Times New Roman"/>
          <w:sz w:val="24"/>
          <w:szCs w:val="24"/>
        </w:rPr>
        <w:instrText xml:space="preserve"> REF _Ref529186500 \r \h </w:instrText>
      </w:r>
      <w:r w:rsidR="0036506D" w:rsidRPr="007917A1">
        <w:rPr>
          <w:rFonts w:ascii="Times New Roman" w:hAnsi="Times New Roman" w:cs="Times New Roman"/>
          <w:sz w:val="24"/>
          <w:szCs w:val="24"/>
        </w:rPr>
      </w:r>
      <w:r w:rsidR="007917A1">
        <w:rPr>
          <w:rFonts w:ascii="Times New Roman" w:hAnsi="Times New Roman" w:cs="Times New Roman"/>
          <w:sz w:val="24"/>
          <w:szCs w:val="24"/>
        </w:rPr>
        <w:instrText xml:space="preserve"> \* MERGEFORMAT </w:instrText>
      </w:r>
      <w:r w:rsidR="0036506D" w:rsidRPr="007917A1">
        <w:rPr>
          <w:rFonts w:ascii="Times New Roman" w:hAnsi="Times New Roman" w:cs="Times New Roman"/>
          <w:sz w:val="24"/>
          <w:szCs w:val="24"/>
        </w:rPr>
        <w:fldChar w:fldCharType="separate"/>
      </w:r>
      <w:r w:rsidR="001E21DB" w:rsidRPr="007917A1">
        <w:rPr>
          <w:rFonts w:ascii="Times New Roman" w:hAnsi="Times New Roman" w:cs="Times New Roman"/>
          <w:sz w:val="24"/>
          <w:szCs w:val="24"/>
        </w:rPr>
        <w:t>20</w:t>
      </w:r>
      <w:r w:rsidR="0036506D" w:rsidRPr="007917A1">
        <w:rPr>
          <w:rFonts w:ascii="Times New Roman" w:hAnsi="Times New Roman" w:cs="Times New Roman"/>
          <w:sz w:val="24"/>
          <w:szCs w:val="24"/>
        </w:rPr>
        <w:fldChar w:fldCharType="end"/>
      </w:r>
      <w:r w:rsidR="0036506D" w:rsidRPr="007917A1">
        <w:rPr>
          <w:rFonts w:ascii="Times New Roman" w:hAnsi="Times New Roman" w:cs="Times New Roman"/>
          <w:sz w:val="24"/>
          <w:szCs w:val="24"/>
        </w:rPr>
        <w:t>]</w:t>
      </w:r>
      <w:r w:rsidR="00004DD8" w:rsidRPr="007917A1">
        <w:rPr>
          <w:rFonts w:ascii="Times New Roman" w:hAnsi="Times New Roman" w:cs="Times New Roman"/>
          <w:sz w:val="24"/>
          <w:szCs w:val="24"/>
        </w:rPr>
        <w:t>)</w:t>
      </w:r>
      <w:r w:rsidR="00FB5F7C" w:rsidRPr="007917A1">
        <w:rPr>
          <w:rFonts w:ascii="Times New Roman" w:hAnsi="Times New Roman" w:cs="Times New Roman"/>
          <w:sz w:val="24"/>
          <w:szCs w:val="24"/>
        </w:rPr>
        <w:t xml:space="preserve">, с учетом российских </w:t>
      </w:r>
      <w:r w:rsidR="00632547" w:rsidRPr="007917A1">
        <w:rPr>
          <w:rFonts w:ascii="Times New Roman" w:hAnsi="Times New Roman" w:cs="Times New Roman"/>
          <w:sz w:val="24"/>
          <w:szCs w:val="24"/>
        </w:rPr>
        <w:t>исследований</w:t>
      </w:r>
      <w:r w:rsidR="00FB5F7C" w:rsidRPr="007917A1">
        <w:rPr>
          <w:rFonts w:ascii="Times New Roman" w:hAnsi="Times New Roman" w:cs="Times New Roman"/>
          <w:sz w:val="24"/>
          <w:szCs w:val="24"/>
        </w:rPr>
        <w:t xml:space="preserve"> в области управления портфелями корпораций [</w:t>
      </w:r>
      <w:r w:rsidR="007733BF" w:rsidRPr="007917A1">
        <w:rPr>
          <w:rFonts w:ascii="Times New Roman" w:hAnsi="Times New Roman" w:cs="Times New Roman"/>
          <w:sz w:val="24"/>
          <w:szCs w:val="24"/>
        </w:rPr>
        <w:fldChar w:fldCharType="begin"/>
      </w:r>
      <w:r w:rsidR="007733BF" w:rsidRPr="007917A1">
        <w:rPr>
          <w:rFonts w:ascii="Times New Roman" w:hAnsi="Times New Roman" w:cs="Times New Roman"/>
          <w:sz w:val="24"/>
          <w:szCs w:val="24"/>
        </w:rPr>
        <w:instrText xml:space="preserve"> REF _Ref532222634 \r \h </w:instrText>
      </w:r>
      <w:r w:rsidR="007733BF" w:rsidRPr="007917A1">
        <w:rPr>
          <w:rFonts w:ascii="Times New Roman" w:hAnsi="Times New Roman" w:cs="Times New Roman"/>
          <w:sz w:val="24"/>
          <w:szCs w:val="24"/>
        </w:rPr>
      </w:r>
      <w:r w:rsidR="007917A1">
        <w:rPr>
          <w:rFonts w:ascii="Times New Roman" w:hAnsi="Times New Roman" w:cs="Times New Roman"/>
          <w:sz w:val="24"/>
          <w:szCs w:val="24"/>
        </w:rPr>
        <w:instrText xml:space="preserve"> \* MERGEFORMAT </w:instrText>
      </w:r>
      <w:r w:rsidR="007733BF" w:rsidRPr="007917A1">
        <w:rPr>
          <w:rFonts w:ascii="Times New Roman" w:hAnsi="Times New Roman" w:cs="Times New Roman"/>
          <w:sz w:val="24"/>
          <w:szCs w:val="24"/>
        </w:rPr>
        <w:fldChar w:fldCharType="separate"/>
      </w:r>
      <w:r w:rsidR="001E21DB" w:rsidRPr="007917A1">
        <w:rPr>
          <w:rFonts w:ascii="Times New Roman" w:hAnsi="Times New Roman" w:cs="Times New Roman"/>
          <w:sz w:val="24"/>
          <w:szCs w:val="24"/>
        </w:rPr>
        <w:t>21</w:t>
      </w:r>
      <w:r w:rsidR="007733BF" w:rsidRPr="007917A1">
        <w:rPr>
          <w:rFonts w:ascii="Times New Roman" w:hAnsi="Times New Roman" w:cs="Times New Roman"/>
          <w:sz w:val="24"/>
          <w:szCs w:val="24"/>
        </w:rPr>
        <w:fldChar w:fldCharType="end"/>
      </w:r>
      <w:r w:rsidR="00FB5F7C" w:rsidRPr="007917A1">
        <w:rPr>
          <w:rFonts w:ascii="Times New Roman" w:hAnsi="Times New Roman" w:cs="Times New Roman"/>
          <w:sz w:val="24"/>
          <w:szCs w:val="24"/>
        </w:rPr>
        <w:t>]</w:t>
      </w:r>
      <w:r w:rsidR="007733BF" w:rsidRPr="007917A1">
        <w:rPr>
          <w:rFonts w:ascii="Times New Roman" w:hAnsi="Times New Roman" w:cs="Times New Roman"/>
          <w:sz w:val="24"/>
          <w:szCs w:val="24"/>
        </w:rPr>
        <w:t xml:space="preserve"> и концепции управления стоимостным потенциалом недвижимости [</w:t>
      </w:r>
      <w:r w:rsidR="007733BF" w:rsidRPr="007917A1">
        <w:rPr>
          <w:rFonts w:ascii="Times New Roman" w:hAnsi="Times New Roman" w:cs="Times New Roman"/>
          <w:sz w:val="24"/>
          <w:szCs w:val="24"/>
          <w:lang w:val="en-US"/>
        </w:rPr>
        <w:fldChar w:fldCharType="begin"/>
      </w:r>
      <w:r w:rsidR="007733BF" w:rsidRPr="007917A1">
        <w:rPr>
          <w:rFonts w:ascii="Times New Roman" w:hAnsi="Times New Roman" w:cs="Times New Roman"/>
          <w:sz w:val="24"/>
          <w:szCs w:val="24"/>
        </w:rPr>
        <w:instrText xml:space="preserve"> </w:instrText>
      </w:r>
      <w:r w:rsidR="007733BF" w:rsidRPr="007917A1">
        <w:rPr>
          <w:rFonts w:ascii="Times New Roman" w:hAnsi="Times New Roman" w:cs="Times New Roman"/>
          <w:sz w:val="24"/>
          <w:szCs w:val="24"/>
          <w:lang w:val="en-US"/>
        </w:rPr>
        <w:instrText>REF</w:instrText>
      </w:r>
      <w:r w:rsidR="007733BF" w:rsidRPr="007917A1">
        <w:rPr>
          <w:rFonts w:ascii="Times New Roman" w:hAnsi="Times New Roman" w:cs="Times New Roman"/>
          <w:sz w:val="24"/>
          <w:szCs w:val="24"/>
        </w:rPr>
        <w:instrText xml:space="preserve"> _</w:instrText>
      </w:r>
      <w:r w:rsidR="007733BF" w:rsidRPr="007917A1">
        <w:rPr>
          <w:rFonts w:ascii="Times New Roman" w:hAnsi="Times New Roman" w:cs="Times New Roman"/>
          <w:sz w:val="24"/>
          <w:szCs w:val="24"/>
          <w:lang w:val="en-US"/>
        </w:rPr>
        <w:instrText>Ref</w:instrText>
      </w:r>
      <w:r w:rsidR="007733BF" w:rsidRPr="007917A1">
        <w:rPr>
          <w:rFonts w:ascii="Times New Roman" w:hAnsi="Times New Roman" w:cs="Times New Roman"/>
          <w:sz w:val="24"/>
          <w:szCs w:val="24"/>
        </w:rPr>
        <w:instrText>532222671 \</w:instrText>
      </w:r>
      <w:r w:rsidR="007733BF" w:rsidRPr="007917A1">
        <w:rPr>
          <w:rFonts w:ascii="Times New Roman" w:hAnsi="Times New Roman" w:cs="Times New Roman"/>
          <w:sz w:val="24"/>
          <w:szCs w:val="24"/>
          <w:lang w:val="en-US"/>
        </w:rPr>
        <w:instrText>r</w:instrText>
      </w:r>
      <w:r w:rsidR="007733BF" w:rsidRPr="007917A1">
        <w:rPr>
          <w:rFonts w:ascii="Times New Roman" w:hAnsi="Times New Roman" w:cs="Times New Roman"/>
          <w:sz w:val="24"/>
          <w:szCs w:val="24"/>
        </w:rPr>
        <w:instrText xml:space="preserve"> \</w:instrText>
      </w:r>
      <w:r w:rsidR="007733BF" w:rsidRPr="007917A1">
        <w:rPr>
          <w:rFonts w:ascii="Times New Roman" w:hAnsi="Times New Roman" w:cs="Times New Roman"/>
          <w:sz w:val="24"/>
          <w:szCs w:val="24"/>
          <w:lang w:val="en-US"/>
        </w:rPr>
        <w:instrText>h</w:instrText>
      </w:r>
      <w:r w:rsidR="007733BF" w:rsidRPr="007917A1">
        <w:rPr>
          <w:rFonts w:ascii="Times New Roman" w:hAnsi="Times New Roman" w:cs="Times New Roman"/>
          <w:sz w:val="24"/>
          <w:szCs w:val="24"/>
        </w:rPr>
        <w:instrText xml:space="preserve"> </w:instrText>
      </w:r>
      <w:r w:rsidR="007733BF" w:rsidRPr="007917A1">
        <w:rPr>
          <w:rFonts w:ascii="Times New Roman" w:hAnsi="Times New Roman" w:cs="Times New Roman"/>
          <w:sz w:val="24"/>
          <w:szCs w:val="24"/>
          <w:lang w:val="en-US"/>
        </w:rPr>
      </w:r>
      <w:r w:rsidR="007917A1" w:rsidRPr="007917A1">
        <w:rPr>
          <w:rFonts w:ascii="Times New Roman" w:hAnsi="Times New Roman" w:cs="Times New Roman"/>
          <w:sz w:val="24"/>
          <w:szCs w:val="24"/>
        </w:rPr>
        <w:instrText xml:space="preserve"> \* </w:instrText>
      </w:r>
      <w:r w:rsidR="007917A1">
        <w:rPr>
          <w:rFonts w:ascii="Times New Roman" w:hAnsi="Times New Roman" w:cs="Times New Roman"/>
          <w:sz w:val="24"/>
          <w:szCs w:val="24"/>
          <w:lang w:val="en-US"/>
        </w:rPr>
        <w:instrText>MERGEFORMAT</w:instrText>
      </w:r>
      <w:r w:rsidR="007917A1" w:rsidRPr="007917A1">
        <w:rPr>
          <w:rFonts w:ascii="Times New Roman" w:hAnsi="Times New Roman" w:cs="Times New Roman"/>
          <w:sz w:val="24"/>
          <w:szCs w:val="24"/>
        </w:rPr>
        <w:instrText xml:space="preserve"> </w:instrText>
      </w:r>
      <w:r w:rsidR="007733BF" w:rsidRPr="007917A1">
        <w:rPr>
          <w:rFonts w:ascii="Times New Roman" w:hAnsi="Times New Roman" w:cs="Times New Roman"/>
          <w:sz w:val="24"/>
          <w:szCs w:val="24"/>
          <w:lang w:val="en-US"/>
        </w:rPr>
        <w:fldChar w:fldCharType="separate"/>
      </w:r>
      <w:r w:rsidR="007D04BD" w:rsidRPr="007917A1">
        <w:rPr>
          <w:rFonts w:ascii="Times New Roman" w:hAnsi="Times New Roman" w:cs="Times New Roman"/>
          <w:sz w:val="24"/>
          <w:szCs w:val="24"/>
        </w:rPr>
        <w:t>22</w:t>
      </w:r>
      <w:r w:rsidR="007733BF" w:rsidRPr="007917A1">
        <w:rPr>
          <w:rFonts w:ascii="Times New Roman" w:hAnsi="Times New Roman" w:cs="Times New Roman"/>
          <w:sz w:val="24"/>
          <w:szCs w:val="24"/>
          <w:lang w:val="en-US"/>
        </w:rPr>
        <w:fldChar w:fldCharType="end"/>
      </w:r>
      <w:r w:rsidR="007733BF" w:rsidRPr="007917A1">
        <w:rPr>
          <w:rFonts w:ascii="Times New Roman" w:hAnsi="Times New Roman" w:cs="Times New Roman"/>
          <w:sz w:val="24"/>
          <w:szCs w:val="24"/>
        </w:rPr>
        <w:t>], а также на основе опыта авторов по анализу крупных портфелей недвижимости</w:t>
      </w:r>
      <w:r w:rsidR="00632547" w:rsidRPr="007917A1">
        <w:rPr>
          <w:rFonts w:ascii="Times New Roman" w:hAnsi="Times New Roman" w:cs="Times New Roman"/>
          <w:sz w:val="24"/>
          <w:szCs w:val="24"/>
        </w:rPr>
        <w:t xml:space="preserve"> банков и адаптированных с учетом </w:t>
      </w:r>
      <w:proofErr w:type="spellStart"/>
      <w:r w:rsidR="00632547" w:rsidRPr="007917A1">
        <w:rPr>
          <w:rFonts w:ascii="Times New Roman" w:hAnsi="Times New Roman" w:cs="Times New Roman"/>
          <w:sz w:val="24"/>
          <w:szCs w:val="24"/>
        </w:rPr>
        <w:t>непрофильности</w:t>
      </w:r>
      <w:proofErr w:type="spellEnd"/>
      <w:r w:rsidR="00632547" w:rsidRPr="007917A1">
        <w:rPr>
          <w:rFonts w:ascii="Times New Roman" w:hAnsi="Times New Roman" w:cs="Times New Roman"/>
          <w:sz w:val="24"/>
          <w:szCs w:val="24"/>
        </w:rPr>
        <w:t xml:space="preserve"> управления недвижимостью для банковского сектора</w:t>
      </w:r>
      <w:r w:rsidR="007733BF" w:rsidRPr="007917A1">
        <w:rPr>
          <w:rFonts w:ascii="Times New Roman" w:hAnsi="Times New Roman" w:cs="Times New Roman"/>
          <w:sz w:val="24"/>
          <w:szCs w:val="24"/>
        </w:rPr>
        <w:t>.</w:t>
      </w:r>
      <w:r w:rsidRPr="007917A1">
        <w:rPr>
          <w:rFonts w:ascii="Times New Roman" w:hAnsi="Times New Roman" w:cs="Times New Roman"/>
          <w:sz w:val="24"/>
          <w:szCs w:val="24"/>
        </w:rPr>
        <w:t xml:space="preserve"> </w:t>
      </w:r>
    </w:p>
    <w:p w:rsidR="00090124" w:rsidRPr="007917A1" w:rsidRDefault="005301B8" w:rsidP="00C82BF7">
      <w:pPr>
        <w:pStyle w:val="a5"/>
        <w:spacing w:after="0" w:line="360" w:lineRule="auto"/>
        <w:ind w:left="0"/>
        <w:jc w:val="both"/>
        <w:rPr>
          <w:rFonts w:ascii="Times New Roman" w:hAnsi="Times New Roman" w:cs="Times New Roman"/>
          <w:b/>
          <w:i/>
          <w:sz w:val="24"/>
          <w:szCs w:val="24"/>
        </w:rPr>
      </w:pPr>
      <w:r w:rsidRPr="007917A1">
        <w:rPr>
          <w:rFonts w:ascii="Times New Roman" w:hAnsi="Times New Roman" w:cs="Times New Roman"/>
          <w:b/>
          <w:i/>
          <w:sz w:val="24"/>
          <w:szCs w:val="24"/>
        </w:rPr>
        <w:t xml:space="preserve">Таблица </w:t>
      </w:r>
      <w:r w:rsidRPr="007917A1">
        <w:rPr>
          <w:rFonts w:ascii="Times New Roman" w:hAnsi="Times New Roman" w:cs="Times New Roman"/>
          <w:b/>
          <w:i/>
          <w:sz w:val="24"/>
          <w:szCs w:val="24"/>
        </w:rPr>
        <w:fldChar w:fldCharType="begin"/>
      </w:r>
      <w:r w:rsidRPr="007917A1">
        <w:rPr>
          <w:rFonts w:ascii="Times New Roman" w:hAnsi="Times New Roman" w:cs="Times New Roman"/>
          <w:b/>
          <w:i/>
          <w:sz w:val="24"/>
          <w:szCs w:val="24"/>
        </w:rPr>
        <w:instrText xml:space="preserve"> SEQ Таблица \* ARABIC </w:instrText>
      </w:r>
      <w:r w:rsidRPr="007917A1">
        <w:rPr>
          <w:rFonts w:ascii="Times New Roman" w:hAnsi="Times New Roman" w:cs="Times New Roman"/>
          <w:b/>
          <w:i/>
          <w:sz w:val="24"/>
          <w:szCs w:val="24"/>
        </w:rPr>
        <w:fldChar w:fldCharType="separate"/>
      </w:r>
      <w:r w:rsidR="005A23D0" w:rsidRPr="007917A1">
        <w:rPr>
          <w:rFonts w:ascii="Times New Roman" w:hAnsi="Times New Roman" w:cs="Times New Roman"/>
          <w:b/>
          <w:i/>
          <w:noProof/>
          <w:sz w:val="24"/>
          <w:szCs w:val="24"/>
        </w:rPr>
        <w:t>1</w:t>
      </w:r>
      <w:r w:rsidRPr="007917A1">
        <w:rPr>
          <w:rFonts w:ascii="Times New Roman" w:hAnsi="Times New Roman" w:cs="Times New Roman"/>
          <w:b/>
          <w:i/>
          <w:sz w:val="24"/>
          <w:szCs w:val="24"/>
        </w:rPr>
        <w:fldChar w:fldCharType="end"/>
      </w:r>
    </w:p>
    <w:p w:rsidR="00C82BF7" w:rsidRPr="007917A1" w:rsidRDefault="00C82BF7" w:rsidP="00C82BF7">
      <w:pPr>
        <w:pStyle w:val="a5"/>
        <w:spacing w:after="0" w:line="360" w:lineRule="auto"/>
        <w:ind w:left="0"/>
        <w:jc w:val="both"/>
        <w:rPr>
          <w:rFonts w:ascii="Times New Roman" w:hAnsi="Times New Roman" w:cs="Times New Roman"/>
          <w:b/>
          <w:sz w:val="24"/>
          <w:szCs w:val="24"/>
        </w:rPr>
      </w:pPr>
      <w:r w:rsidRPr="007917A1">
        <w:rPr>
          <w:rFonts w:ascii="Times New Roman" w:hAnsi="Times New Roman" w:cs="Times New Roman"/>
          <w:b/>
          <w:sz w:val="24"/>
          <w:szCs w:val="24"/>
        </w:rPr>
        <w:t>Система показателей стоимостного управления ПН банка</w:t>
      </w:r>
    </w:p>
    <w:tbl>
      <w:tblPr>
        <w:tblStyle w:val="af"/>
        <w:tblW w:w="0" w:type="auto"/>
        <w:jc w:val="center"/>
        <w:tblLook w:val="04A0" w:firstRow="1" w:lastRow="0" w:firstColumn="1" w:lastColumn="0" w:noHBand="0" w:noVBand="1"/>
      </w:tblPr>
      <w:tblGrid>
        <w:gridCol w:w="3340"/>
        <w:gridCol w:w="4050"/>
        <w:gridCol w:w="1946"/>
      </w:tblGrid>
      <w:tr w:rsidR="00B80C44" w:rsidRPr="007917A1" w:rsidTr="003A5732">
        <w:trPr>
          <w:tblHeader/>
          <w:jc w:val="center"/>
        </w:trPr>
        <w:tc>
          <w:tcPr>
            <w:tcW w:w="3340" w:type="dxa"/>
            <w:vAlign w:val="center"/>
          </w:tcPr>
          <w:p w:rsidR="00C82BF7" w:rsidRPr="007917A1" w:rsidRDefault="00C82BF7" w:rsidP="004B5B87">
            <w:pPr>
              <w:jc w:val="center"/>
              <w:rPr>
                <w:rFonts w:ascii="Times New Roman" w:hAnsi="Times New Roman" w:cs="Times New Roman"/>
                <w:b/>
                <w:sz w:val="20"/>
                <w:szCs w:val="20"/>
              </w:rPr>
            </w:pPr>
            <w:r w:rsidRPr="007917A1">
              <w:rPr>
                <w:rFonts w:ascii="Times New Roman" w:hAnsi="Times New Roman" w:cs="Times New Roman"/>
                <w:b/>
                <w:sz w:val="20"/>
                <w:szCs w:val="20"/>
              </w:rPr>
              <w:t>Индикатор</w:t>
            </w:r>
          </w:p>
        </w:tc>
        <w:tc>
          <w:tcPr>
            <w:tcW w:w="4050" w:type="dxa"/>
            <w:vAlign w:val="center"/>
          </w:tcPr>
          <w:p w:rsidR="00C82BF7" w:rsidRPr="007917A1" w:rsidRDefault="00C82BF7" w:rsidP="004B5B87">
            <w:pPr>
              <w:pStyle w:val="a5"/>
              <w:ind w:left="0"/>
              <w:jc w:val="center"/>
              <w:rPr>
                <w:rFonts w:ascii="Times New Roman" w:hAnsi="Times New Roman" w:cs="Times New Roman"/>
                <w:b/>
                <w:sz w:val="20"/>
                <w:szCs w:val="20"/>
              </w:rPr>
            </w:pPr>
            <w:r w:rsidRPr="007917A1">
              <w:rPr>
                <w:rFonts w:ascii="Times New Roman" w:hAnsi="Times New Roman" w:cs="Times New Roman"/>
                <w:b/>
                <w:sz w:val="20"/>
                <w:szCs w:val="20"/>
              </w:rPr>
              <w:t>Содержание</w:t>
            </w:r>
          </w:p>
        </w:tc>
        <w:tc>
          <w:tcPr>
            <w:tcW w:w="1946" w:type="dxa"/>
            <w:vAlign w:val="center"/>
          </w:tcPr>
          <w:p w:rsidR="00C82BF7" w:rsidRPr="007917A1" w:rsidRDefault="00C82BF7" w:rsidP="004B5B87">
            <w:pPr>
              <w:pStyle w:val="a5"/>
              <w:ind w:left="0"/>
              <w:jc w:val="center"/>
              <w:rPr>
                <w:rFonts w:ascii="Times New Roman" w:hAnsi="Times New Roman" w:cs="Times New Roman"/>
                <w:b/>
                <w:sz w:val="20"/>
                <w:szCs w:val="20"/>
              </w:rPr>
            </w:pPr>
            <w:r w:rsidRPr="007917A1">
              <w:rPr>
                <w:rFonts w:ascii="Times New Roman" w:hAnsi="Times New Roman" w:cs="Times New Roman"/>
                <w:b/>
                <w:sz w:val="20"/>
                <w:szCs w:val="20"/>
              </w:rPr>
              <w:t>Целевой показатель</w:t>
            </w:r>
            <w:r w:rsidR="007733BF" w:rsidRPr="007917A1">
              <w:rPr>
                <w:rStyle w:val="a8"/>
                <w:rFonts w:ascii="Times New Roman" w:hAnsi="Times New Roman" w:cs="Times New Roman"/>
                <w:b/>
                <w:sz w:val="20"/>
                <w:szCs w:val="20"/>
              </w:rPr>
              <w:footnoteReference w:id="10"/>
            </w:r>
          </w:p>
        </w:tc>
      </w:tr>
      <w:tr w:rsidR="00B80C44" w:rsidRPr="007917A1" w:rsidTr="004B5B87">
        <w:trPr>
          <w:jc w:val="center"/>
        </w:trPr>
        <w:tc>
          <w:tcPr>
            <w:tcW w:w="3340" w:type="dxa"/>
            <w:vAlign w:val="center"/>
          </w:tcPr>
          <w:p w:rsidR="00C82BF7" w:rsidRPr="007917A1" w:rsidRDefault="00C82BF7" w:rsidP="00C82BF7">
            <w:pPr>
              <w:pStyle w:val="a5"/>
              <w:numPr>
                <w:ilvl w:val="0"/>
                <w:numId w:val="24"/>
              </w:numPr>
              <w:jc w:val="both"/>
              <w:rPr>
                <w:rFonts w:ascii="Times New Roman" w:hAnsi="Times New Roman" w:cs="Times New Roman"/>
                <w:sz w:val="20"/>
                <w:szCs w:val="20"/>
              </w:rPr>
            </w:pPr>
            <w:r w:rsidRPr="007917A1">
              <w:rPr>
                <w:rFonts w:ascii="Times New Roman" w:hAnsi="Times New Roman" w:cs="Times New Roman"/>
                <w:sz w:val="20"/>
                <w:szCs w:val="20"/>
              </w:rPr>
              <w:t>Доля неиспользуемых (неэффективно используемых) площадей, %</w:t>
            </w:r>
          </w:p>
        </w:tc>
        <w:tc>
          <w:tcPr>
            <w:tcW w:w="4050" w:type="dxa"/>
            <w:vAlign w:val="center"/>
          </w:tcPr>
          <w:p w:rsidR="00C82BF7" w:rsidRPr="007917A1" w:rsidRDefault="00C82BF7" w:rsidP="004B5B87">
            <w:pPr>
              <w:pStyle w:val="a5"/>
              <w:ind w:left="0"/>
              <w:jc w:val="both"/>
              <w:rPr>
                <w:rFonts w:ascii="Times New Roman" w:hAnsi="Times New Roman" w:cs="Times New Roman"/>
                <w:sz w:val="20"/>
                <w:szCs w:val="20"/>
              </w:rPr>
            </w:pPr>
            <w:r w:rsidRPr="007917A1">
              <w:rPr>
                <w:rFonts w:ascii="Times New Roman" w:hAnsi="Times New Roman" w:cs="Times New Roman"/>
                <w:sz w:val="20"/>
                <w:szCs w:val="20"/>
              </w:rPr>
              <w:t xml:space="preserve">Отношение полезной площади объектов ПН, превышающей нормативно необходимую, к суммарной полезной площади ПН </w:t>
            </w:r>
          </w:p>
        </w:tc>
        <w:tc>
          <w:tcPr>
            <w:tcW w:w="1946" w:type="dxa"/>
            <w:vAlign w:val="center"/>
          </w:tcPr>
          <w:p w:rsidR="00C82BF7" w:rsidRPr="007917A1" w:rsidRDefault="00C82BF7" w:rsidP="004B5B87">
            <w:pPr>
              <w:pStyle w:val="a5"/>
              <w:ind w:left="0"/>
              <w:jc w:val="center"/>
              <w:rPr>
                <w:rFonts w:ascii="Times New Roman" w:hAnsi="Times New Roman" w:cs="Times New Roman"/>
                <w:sz w:val="20"/>
                <w:szCs w:val="20"/>
              </w:rPr>
            </w:pPr>
          </w:p>
          <w:p w:rsidR="00C82BF7" w:rsidRPr="007917A1" w:rsidRDefault="00C82BF7" w:rsidP="004B5B87">
            <w:pPr>
              <w:pStyle w:val="a5"/>
              <w:ind w:left="0"/>
              <w:jc w:val="center"/>
              <w:rPr>
                <w:rFonts w:ascii="Times New Roman" w:hAnsi="Times New Roman" w:cs="Times New Roman"/>
                <w:sz w:val="20"/>
                <w:szCs w:val="20"/>
              </w:rPr>
            </w:pPr>
          </w:p>
          <w:p w:rsidR="00C82BF7" w:rsidRPr="007917A1" w:rsidRDefault="00C82BF7" w:rsidP="004B5B87">
            <w:pPr>
              <w:pStyle w:val="a5"/>
              <w:ind w:left="0"/>
              <w:jc w:val="center"/>
              <w:rPr>
                <w:rFonts w:ascii="Times New Roman" w:hAnsi="Times New Roman" w:cs="Times New Roman"/>
                <w:sz w:val="20"/>
                <w:szCs w:val="20"/>
                <w:lang w:val="en-US"/>
              </w:rPr>
            </w:pPr>
            <w:r w:rsidRPr="007917A1">
              <w:rPr>
                <w:rFonts w:ascii="Times New Roman" w:hAnsi="Times New Roman" w:cs="Times New Roman"/>
                <w:sz w:val="20"/>
                <w:szCs w:val="20"/>
                <w:lang w:val="en-US"/>
              </w:rPr>
              <w:t>&lt; 5%</w:t>
            </w:r>
          </w:p>
        </w:tc>
      </w:tr>
      <w:tr w:rsidR="00B80C44" w:rsidRPr="007917A1" w:rsidTr="004B5B87">
        <w:trPr>
          <w:jc w:val="center"/>
        </w:trPr>
        <w:tc>
          <w:tcPr>
            <w:tcW w:w="3340" w:type="dxa"/>
            <w:vAlign w:val="center"/>
          </w:tcPr>
          <w:p w:rsidR="00C82BF7" w:rsidRPr="007917A1" w:rsidRDefault="00C82BF7" w:rsidP="00C82BF7">
            <w:pPr>
              <w:pStyle w:val="a5"/>
              <w:numPr>
                <w:ilvl w:val="0"/>
                <w:numId w:val="24"/>
              </w:numPr>
              <w:jc w:val="both"/>
              <w:rPr>
                <w:rFonts w:ascii="Times New Roman" w:hAnsi="Times New Roman" w:cs="Times New Roman"/>
                <w:sz w:val="20"/>
                <w:szCs w:val="20"/>
              </w:rPr>
            </w:pPr>
            <w:r w:rsidRPr="007917A1">
              <w:rPr>
                <w:rFonts w:ascii="Times New Roman" w:hAnsi="Times New Roman" w:cs="Times New Roman"/>
                <w:sz w:val="20"/>
                <w:szCs w:val="20"/>
              </w:rPr>
              <w:t>Доля второсортных и неликвидных площадей в собственности, %</w:t>
            </w:r>
          </w:p>
        </w:tc>
        <w:tc>
          <w:tcPr>
            <w:tcW w:w="4050" w:type="dxa"/>
            <w:vAlign w:val="center"/>
          </w:tcPr>
          <w:p w:rsidR="00C82BF7" w:rsidRPr="007917A1" w:rsidRDefault="00C82BF7" w:rsidP="004B5B87">
            <w:pPr>
              <w:pStyle w:val="a5"/>
              <w:ind w:left="0"/>
              <w:jc w:val="both"/>
              <w:rPr>
                <w:rFonts w:ascii="Times New Roman" w:hAnsi="Times New Roman" w:cs="Times New Roman"/>
                <w:sz w:val="20"/>
                <w:szCs w:val="20"/>
              </w:rPr>
            </w:pPr>
            <w:r w:rsidRPr="007917A1">
              <w:rPr>
                <w:rFonts w:ascii="Times New Roman" w:hAnsi="Times New Roman" w:cs="Times New Roman"/>
                <w:sz w:val="20"/>
                <w:szCs w:val="20"/>
              </w:rPr>
              <w:t>Отношение полезной площади неликвидных для данного локального рынка объектов к суммарной полезной площади ПН (из числа находящихся в собственности)</w:t>
            </w:r>
          </w:p>
        </w:tc>
        <w:tc>
          <w:tcPr>
            <w:tcW w:w="1946" w:type="dxa"/>
            <w:vAlign w:val="center"/>
          </w:tcPr>
          <w:p w:rsidR="00C82BF7" w:rsidRPr="007917A1" w:rsidRDefault="00C82BF7">
            <w:pPr>
              <w:pStyle w:val="a5"/>
              <w:ind w:left="0"/>
              <w:jc w:val="center"/>
              <w:rPr>
                <w:rFonts w:ascii="Times New Roman" w:hAnsi="Times New Roman" w:cs="Times New Roman"/>
                <w:sz w:val="20"/>
                <w:szCs w:val="20"/>
                <w:lang w:val="en-US"/>
              </w:rPr>
            </w:pPr>
            <w:r w:rsidRPr="007917A1">
              <w:rPr>
                <w:rFonts w:ascii="Times New Roman" w:hAnsi="Times New Roman" w:cs="Times New Roman"/>
                <w:sz w:val="20"/>
                <w:szCs w:val="20"/>
                <w:lang w:val="en-US"/>
              </w:rPr>
              <w:t>&lt; 10%</w:t>
            </w:r>
          </w:p>
        </w:tc>
      </w:tr>
      <w:tr w:rsidR="00B80C44" w:rsidRPr="007917A1" w:rsidTr="004B5B87">
        <w:trPr>
          <w:jc w:val="center"/>
        </w:trPr>
        <w:tc>
          <w:tcPr>
            <w:tcW w:w="3340" w:type="dxa"/>
          </w:tcPr>
          <w:p w:rsidR="00C82BF7" w:rsidRPr="007917A1" w:rsidRDefault="00C82BF7" w:rsidP="00C82BF7">
            <w:pPr>
              <w:pStyle w:val="a5"/>
              <w:numPr>
                <w:ilvl w:val="0"/>
                <w:numId w:val="24"/>
              </w:numPr>
              <w:rPr>
                <w:rFonts w:ascii="Times New Roman" w:hAnsi="Times New Roman" w:cs="Times New Roman"/>
                <w:sz w:val="20"/>
                <w:szCs w:val="20"/>
              </w:rPr>
            </w:pPr>
            <w:r w:rsidRPr="007917A1">
              <w:rPr>
                <w:rFonts w:ascii="Times New Roman" w:hAnsi="Times New Roman" w:cs="Times New Roman"/>
                <w:sz w:val="20"/>
                <w:szCs w:val="20"/>
              </w:rPr>
              <w:t>Рентабельность операционных затрат</w:t>
            </w:r>
            <w:r w:rsidR="007733BF" w:rsidRPr="007917A1">
              <w:rPr>
                <w:rFonts w:ascii="Times New Roman" w:hAnsi="Times New Roman" w:cs="Times New Roman"/>
                <w:sz w:val="20"/>
                <w:szCs w:val="20"/>
              </w:rPr>
              <w:t xml:space="preserve"> портфеля недвижимости</w:t>
            </w:r>
          </w:p>
        </w:tc>
        <w:tc>
          <w:tcPr>
            <w:tcW w:w="4050" w:type="dxa"/>
          </w:tcPr>
          <w:p w:rsidR="00C82BF7" w:rsidRPr="007917A1" w:rsidRDefault="00C82BF7" w:rsidP="004B5B87">
            <w:pPr>
              <w:pStyle w:val="a5"/>
              <w:ind w:left="0"/>
              <w:jc w:val="both"/>
              <w:rPr>
                <w:rFonts w:ascii="Times New Roman" w:hAnsi="Times New Roman" w:cs="Times New Roman"/>
                <w:sz w:val="20"/>
                <w:szCs w:val="20"/>
              </w:rPr>
            </w:pPr>
            <w:r w:rsidRPr="007917A1">
              <w:rPr>
                <w:rFonts w:ascii="Times New Roman" w:hAnsi="Times New Roman" w:cs="Times New Roman"/>
                <w:sz w:val="20"/>
                <w:szCs w:val="20"/>
              </w:rPr>
              <w:t xml:space="preserve">Отношение операционных затрат к операционным доходам </w:t>
            </w:r>
          </w:p>
          <w:p w:rsidR="00C82BF7" w:rsidRPr="007917A1" w:rsidRDefault="00C82BF7" w:rsidP="004B5B87">
            <w:pPr>
              <w:pStyle w:val="a5"/>
              <w:ind w:left="0"/>
              <w:jc w:val="both"/>
              <w:rPr>
                <w:rFonts w:ascii="Times New Roman" w:hAnsi="Times New Roman" w:cs="Times New Roman"/>
                <w:b/>
                <w:sz w:val="20"/>
                <w:szCs w:val="20"/>
              </w:rPr>
            </w:pPr>
            <w:r w:rsidRPr="007917A1">
              <w:rPr>
                <w:rFonts w:ascii="Times New Roman" w:hAnsi="Times New Roman" w:cs="Times New Roman"/>
                <w:sz w:val="20"/>
                <w:szCs w:val="20"/>
              </w:rPr>
              <w:t>(C / I)</w:t>
            </w:r>
          </w:p>
        </w:tc>
        <w:tc>
          <w:tcPr>
            <w:tcW w:w="1946" w:type="dxa"/>
            <w:vAlign w:val="center"/>
          </w:tcPr>
          <w:p w:rsidR="00C82BF7" w:rsidRPr="007917A1" w:rsidRDefault="00C82BF7" w:rsidP="004B5B87">
            <w:pPr>
              <w:pStyle w:val="a5"/>
              <w:ind w:left="0"/>
              <w:jc w:val="center"/>
              <w:rPr>
                <w:rFonts w:ascii="Times New Roman" w:hAnsi="Times New Roman" w:cs="Times New Roman"/>
                <w:sz w:val="20"/>
                <w:szCs w:val="20"/>
              </w:rPr>
            </w:pPr>
            <w:r w:rsidRPr="007917A1">
              <w:rPr>
                <w:rFonts w:ascii="Times New Roman" w:hAnsi="Times New Roman" w:cs="Times New Roman"/>
                <w:sz w:val="20"/>
                <w:szCs w:val="20"/>
              </w:rPr>
              <w:t>&lt; 1</w:t>
            </w:r>
          </w:p>
        </w:tc>
      </w:tr>
      <w:tr w:rsidR="00B80C44" w:rsidRPr="007917A1" w:rsidTr="004B5B87">
        <w:trPr>
          <w:jc w:val="center"/>
        </w:trPr>
        <w:tc>
          <w:tcPr>
            <w:tcW w:w="3340" w:type="dxa"/>
            <w:vAlign w:val="center"/>
          </w:tcPr>
          <w:p w:rsidR="00C82BF7" w:rsidRPr="007917A1" w:rsidRDefault="00C82BF7" w:rsidP="00C82BF7">
            <w:pPr>
              <w:pStyle w:val="a5"/>
              <w:numPr>
                <w:ilvl w:val="0"/>
                <w:numId w:val="24"/>
              </w:numPr>
              <w:jc w:val="both"/>
              <w:rPr>
                <w:rFonts w:ascii="Times New Roman" w:hAnsi="Times New Roman" w:cs="Times New Roman"/>
                <w:sz w:val="20"/>
                <w:szCs w:val="20"/>
              </w:rPr>
            </w:pPr>
            <w:r w:rsidRPr="007917A1">
              <w:rPr>
                <w:rFonts w:ascii="Times New Roman" w:hAnsi="Times New Roman" w:cs="Times New Roman"/>
                <w:sz w:val="20"/>
                <w:szCs w:val="20"/>
              </w:rPr>
              <w:t xml:space="preserve">Рентабельность вложенного капитала, с </w:t>
            </w:r>
            <w:r w:rsidRPr="007917A1">
              <w:rPr>
                <w:rFonts w:ascii="Times New Roman" w:hAnsi="Times New Roman" w:cs="Times New Roman"/>
                <w:sz w:val="20"/>
                <w:szCs w:val="20"/>
              </w:rPr>
              <w:lastRenderedPageBreak/>
              <w:t>учетом рисков владения ПН</w:t>
            </w:r>
          </w:p>
        </w:tc>
        <w:tc>
          <w:tcPr>
            <w:tcW w:w="4050" w:type="dxa"/>
            <w:vAlign w:val="center"/>
          </w:tcPr>
          <w:p w:rsidR="00C82BF7" w:rsidRPr="007917A1" w:rsidRDefault="00C82BF7" w:rsidP="004B5B87">
            <w:pPr>
              <w:pStyle w:val="a5"/>
              <w:ind w:left="0"/>
              <w:jc w:val="both"/>
              <w:rPr>
                <w:rFonts w:ascii="Times New Roman" w:hAnsi="Times New Roman" w:cs="Times New Roman"/>
                <w:sz w:val="20"/>
                <w:szCs w:val="20"/>
              </w:rPr>
            </w:pPr>
            <w:r w:rsidRPr="007917A1">
              <w:rPr>
                <w:rFonts w:ascii="Times New Roman" w:hAnsi="Times New Roman" w:cs="Times New Roman"/>
                <w:sz w:val="20"/>
                <w:szCs w:val="20"/>
              </w:rPr>
              <w:lastRenderedPageBreak/>
              <w:t xml:space="preserve">Отношение операционной прибыли к текущей балансовой стоимости ПН, за </w:t>
            </w:r>
            <w:r w:rsidRPr="007917A1">
              <w:rPr>
                <w:rFonts w:ascii="Times New Roman" w:hAnsi="Times New Roman" w:cs="Times New Roman"/>
                <w:sz w:val="20"/>
                <w:szCs w:val="20"/>
              </w:rPr>
              <w:lastRenderedPageBreak/>
              <w:t xml:space="preserve">вычетом рыночной уценки и стоимости резервирования рисков  </w:t>
            </w:r>
          </w:p>
        </w:tc>
        <w:tc>
          <w:tcPr>
            <w:tcW w:w="1946" w:type="dxa"/>
            <w:vAlign w:val="center"/>
          </w:tcPr>
          <w:p w:rsidR="00C82BF7" w:rsidRPr="007917A1" w:rsidRDefault="00C82BF7" w:rsidP="004B5B87">
            <w:pPr>
              <w:rPr>
                <w:rFonts w:ascii="Times New Roman" w:hAnsi="Times New Roman" w:cs="Times New Roman"/>
                <w:sz w:val="20"/>
                <w:szCs w:val="20"/>
                <w:lang w:val="en-US"/>
              </w:rPr>
            </w:pPr>
            <w:r w:rsidRPr="007917A1">
              <w:rPr>
                <w:rFonts w:ascii="Times New Roman" w:hAnsi="Times New Roman" w:cs="Times New Roman"/>
                <w:sz w:val="20"/>
                <w:szCs w:val="20"/>
                <w:lang w:val="en-US"/>
              </w:rPr>
              <w:lastRenderedPageBreak/>
              <w:t xml:space="preserve">&gt; </w:t>
            </w:r>
            <w:r w:rsidRPr="007917A1">
              <w:rPr>
                <w:rFonts w:ascii="Times New Roman" w:hAnsi="Times New Roman" w:cs="Times New Roman"/>
                <w:sz w:val="20"/>
                <w:szCs w:val="20"/>
              </w:rPr>
              <w:t xml:space="preserve">Текущего коэффициента </w:t>
            </w:r>
            <w:r w:rsidRPr="007917A1">
              <w:rPr>
                <w:rFonts w:ascii="Times New Roman" w:hAnsi="Times New Roman" w:cs="Times New Roman"/>
                <w:sz w:val="20"/>
                <w:szCs w:val="20"/>
              </w:rPr>
              <w:lastRenderedPageBreak/>
              <w:t>инфляции</w:t>
            </w:r>
          </w:p>
        </w:tc>
      </w:tr>
      <w:tr w:rsidR="00B80C44" w:rsidRPr="007917A1" w:rsidTr="004B5B87">
        <w:trPr>
          <w:jc w:val="center"/>
        </w:trPr>
        <w:tc>
          <w:tcPr>
            <w:tcW w:w="3340" w:type="dxa"/>
            <w:vAlign w:val="center"/>
          </w:tcPr>
          <w:p w:rsidR="00C82BF7" w:rsidRPr="007917A1" w:rsidRDefault="00C82BF7" w:rsidP="00C82BF7">
            <w:pPr>
              <w:pStyle w:val="a5"/>
              <w:numPr>
                <w:ilvl w:val="0"/>
                <w:numId w:val="24"/>
              </w:numPr>
              <w:jc w:val="both"/>
              <w:rPr>
                <w:rFonts w:ascii="Times New Roman" w:hAnsi="Times New Roman" w:cs="Times New Roman"/>
                <w:sz w:val="20"/>
                <w:szCs w:val="20"/>
              </w:rPr>
            </w:pPr>
            <w:r w:rsidRPr="007917A1">
              <w:rPr>
                <w:rFonts w:ascii="Times New Roman" w:hAnsi="Times New Roman" w:cs="Times New Roman"/>
                <w:sz w:val="20"/>
                <w:szCs w:val="20"/>
              </w:rPr>
              <w:lastRenderedPageBreak/>
              <w:t>Коэффициент β (насколько ПН лучше рынка?)</w:t>
            </w:r>
          </w:p>
        </w:tc>
        <w:tc>
          <w:tcPr>
            <w:tcW w:w="4050" w:type="dxa"/>
            <w:vAlign w:val="center"/>
          </w:tcPr>
          <w:p w:rsidR="00C82BF7" w:rsidRPr="007917A1" w:rsidRDefault="00C82BF7" w:rsidP="004B5B87">
            <w:pPr>
              <w:pStyle w:val="a5"/>
              <w:ind w:left="0"/>
              <w:jc w:val="both"/>
              <w:rPr>
                <w:rFonts w:ascii="Times New Roman" w:hAnsi="Times New Roman" w:cs="Times New Roman"/>
                <w:sz w:val="20"/>
                <w:szCs w:val="20"/>
              </w:rPr>
            </w:pPr>
            <w:r w:rsidRPr="007917A1">
              <w:rPr>
                <w:rFonts w:ascii="Times New Roman" w:hAnsi="Times New Roman" w:cs="Times New Roman"/>
                <w:sz w:val="20"/>
                <w:szCs w:val="20"/>
              </w:rPr>
              <w:t>Средневзвешенное отношение суммарной рыночной стоимости ПН к текущим средним рыночным ценам в соответствующих сегментах локальных рынков</w:t>
            </w:r>
          </w:p>
        </w:tc>
        <w:tc>
          <w:tcPr>
            <w:tcW w:w="1946" w:type="dxa"/>
            <w:vAlign w:val="center"/>
          </w:tcPr>
          <w:p w:rsidR="00C82BF7" w:rsidRPr="007917A1" w:rsidRDefault="00C82BF7" w:rsidP="005B418E">
            <w:pPr>
              <w:rPr>
                <w:rFonts w:ascii="Times New Roman" w:hAnsi="Times New Roman" w:cs="Times New Roman"/>
                <w:sz w:val="20"/>
                <w:szCs w:val="20"/>
                <w:lang w:val="en-US"/>
              </w:rPr>
            </w:pPr>
            <w:r w:rsidRPr="007917A1">
              <w:rPr>
                <w:rFonts w:ascii="Times New Roman" w:hAnsi="Times New Roman" w:cs="Times New Roman"/>
                <w:sz w:val="20"/>
                <w:szCs w:val="20"/>
              </w:rPr>
              <w:t xml:space="preserve">      </w:t>
            </w:r>
            <w:r w:rsidRPr="007917A1">
              <w:rPr>
                <w:rFonts w:ascii="Times New Roman" w:hAnsi="Times New Roman" w:cs="Times New Roman"/>
                <w:sz w:val="20"/>
                <w:szCs w:val="20"/>
                <w:lang w:val="en-US"/>
              </w:rPr>
              <w:t>&gt;1,20</w:t>
            </w:r>
          </w:p>
        </w:tc>
      </w:tr>
      <w:tr w:rsidR="00B80C44" w:rsidRPr="007917A1" w:rsidTr="004B5B87">
        <w:trPr>
          <w:jc w:val="center"/>
        </w:trPr>
        <w:tc>
          <w:tcPr>
            <w:tcW w:w="3340" w:type="dxa"/>
            <w:vAlign w:val="center"/>
          </w:tcPr>
          <w:p w:rsidR="004B5B87" w:rsidRPr="007917A1" w:rsidRDefault="004B5B87" w:rsidP="00903108">
            <w:pPr>
              <w:pStyle w:val="a5"/>
              <w:numPr>
                <w:ilvl w:val="0"/>
                <w:numId w:val="24"/>
              </w:numPr>
              <w:jc w:val="both"/>
              <w:rPr>
                <w:rFonts w:ascii="Times New Roman" w:hAnsi="Times New Roman" w:cs="Times New Roman"/>
                <w:sz w:val="20"/>
                <w:szCs w:val="20"/>
              </w:rPr>
            </w:pPr>
            <w:r w:rsidRPr="007917A1">
              <w:rPr>
                <w:rFonts w:ascii="Times New Roman" w:hAnsi="Times New Roman" w:cs="Times New Roman"/>
                <w:sz w:val="20"/>
                <w:szCs w:val="20"/>
              </w:rPr>
              <w:t xml:space="preserve">Показатели объёма </w:t>
            </w:r>
            <w:proofErr w:type="gramStart"/>
            <w:r w:rsidRPr="007917A1">
              <w:rPr>
                <w:rFonts w:ascii="Times New Roman" w:hAnsi="Times New Roman" w:cs="Times New Roman"/>
                <w:sz w:val="20"/>
                <w:szCs w:val="20"/>
              </w:rPr>
              <w:t>ПН,</w:t>
            </w:r>
            <w:r w:rsidR="00FA3583" w:rsidRPr="007917A1">
              <w:rPr>
                <w:rFonts w:ascii="Times New Roman" w:hAnsi="Times New Roman" w:cs="Times New Roman"/>
                <w:sz w:val="20"/>
                <w:szCs w:val="20"/>
              </w:rPr>
              <w:t xml:space="preserve"> </w:t>
            </w:r>
            <w:r w:rsidRPr="007917A1">
              <w:rPr>
                <w:rFonts w:ascii="Times New Roman" w:hAnsi="Times New Roman" w:cs="Times New Roman"/>
                <w:sz w:val="20"/>
                <w:szCs w:val="20"/>
              </w:rPr>
              <w:t xml:space="preserve"> сформированного</w:t>
            </w:r>
            <w:proofErr w:type="gramEnd"/>
            <w:r w:rsidRPr="007917A1">
              <w:rPr>
                <w:rFonts w:ascii="Times New Roman" w:hAnsi="Times New Roman" w:cs="Times New Roman"/>
                <w:sz w:val="20"/>
                <w:szCs w:val="20"/>
              </w:rPr>
              <w:t xml:space="preserve"> </w:t>
            </w:r>
            <w:r w:rsidR="00903108" w:rsidRPr="007917A1">
              <w:rPr>
                <w:rFonts w:ascii="Times New Roman" w:hAnsi="Times New Roman" w:cs="Times New Roman"/>
                <w:sz w:val="20"/>
                <w:szCs w:val="20"/>
              </w:rPr>
              <w:t>в</w:t>
            </w:r>
            <w:r w:rsidRPr="007917A1">
              <w:rPr>
                <w:rFonts w:ascii="Times New Roman" w:hAnsi="Times New Roman" w:cs="Times New Roman"/>
                <w:sz w:val="20"/>
                <w:szCs w:val="20"/>
              </w:rPr>
              <w:t xml:space="preserve"> результатам урегулирования проблемной задолженности</w:t>
            </w:r>
          </w:p>
        </w:tc>
        <w:tc>
          <w:tcPr>
            <w:tcW w:w="4050" w:type="dxa"/>
            <w:vAlign w:val="center"/>
          </w:tcPr>
          <w:p w:rsidR="004B5B87" w:rsidRPr="007917A1" w:rsidRDefault="004B5B87" w:rsidP="004B5B87">
            <w:pPr>
              <w:pStyle w:val="a5"/>
              <w:ind w:left="0"/>
              <w:jc w:val="both"/>
              <w:rPr>
                <w:rFonts w:ascii="Times New Roman" w:hAnsi="Times New Roman" w:cs="Times New Roman"/>
                <w:sz w:val="20"/>
                <w:szCs w:val="20"/>
              </w:rPr>
            </w:pPr>
            <w:r w:rsidRPr="007917A1">
              <w:rPr>
                <w:rFonts w:ascii="Times New Roman" w:hAnsi="Times New Roman" w:cs="Times New Roman"/>
                <w:sz w:val="20"/>
                <w:szCs w:val="20"/>
              </w:rPr>
              <w:t xml:space="preserve">6.1. Отношение ПН, сформированного в результате урегулирования проблемной задолженности к операционному портфелю </w:t>
            </w:r>
          </w:p>
          <w:p w:rsidR="004B5B87" w:rsidRPr="007917A1" w:rsidRDefault="004B5B87" w:rsidP="004B5B87">
            <w:pPr>
              <w:pStyle w:val="a5"/>
              <w:ind w:left="0"/>
              <w:jc w:val="both"/>
              <w:rPr>
                <w:rFonts w:ascii="Times New Roman" w:hAnsi="Times New Roman" w:cs="Times New Roman"/>
                <w:sz w:val="20"/>
                <w:szCs w:val="20"/>
              </w:rPr>
            </w:pPr>
            <w:r w:rsidRPr="007917A1">
              <w:rPr>
                <w:rFonts w:ascii="Times New Roman" w:hAnsi="Times New Roman" w:cs="Times New Roman"/>
                <w:sz w:val="20"/>
                <w:szCs w:val="20"/>
              </w:rPr>
              <w:t>6.2. Отношение ПН сформированного в результате урегулирования проблемной задолженности к общим активам банка</w:t>
            </w:r>
          </w:p>
        </w:tc>
        <w:tc>
          <w:tcPr>
            <w:tcW w:w="1946" w:type="dxa"/>
            <w:vAlign w:val="center"/>
          </w:tcPr>
          <w:p w:rsidR="004B5B87" w:rsidRPr="007917A1" w:rsidRDefault="004B5B87" w:rsidP="004B5B87">
            <w:pPr>
              <w:rPr>
                <w:rFonts w:ascii="Times New Roman" w:hAnsi="Times New Roman" w:cs="Times New Roman"/>
                <w:sz w:val="20"/>
                <w:szCs w:val="20"/>
                <w:lang w:val="en-US"/>
              </w:rPr>
            </w:pPr>
            <w:r w:rsidRPr="007917A1">
              <w:rPr>
                <w:rFonts w:ascii="Times New Roman" w:hAnsi="Times New Roman" w:cs="Times New Roman"/>
                <w:sz w:val="20"/>
                <w:szCs w:val="20"/>
              </w:rPr>
              <w:t xml:space="preserve">6.1. </w:t>
            </w:r>
            <w:r w:rsidRPr="007917A1">
              <w:rPr>
                <w:rFonts w:ascii="Times New Roman" w:hAnsi="Times New Roman" w:cs="Times New Roman"/>
                <w:sz w:val="20"/>
                <w:szCs w:val="20"/>
                <w:lang w:val="en-US"/>
              </w:rPr>
              <w:t>&lt;30%</w:t>
            </w:r>
          </w:p>
          <w:p w:rsidR="004B5B87" w:rsidRPr="007917A1" w:rsidRDefault="004B5B87" w:rsidP="004B5B87">
            <w:pPr>
              <w:rPr>
                <w:rFonts w:ascii="Times New Roman" w:hAnsi="Times New Roman" w:cs="Times New Roman"/>
                <w:sz w:val="20"/>
                <w:szCs w:val="20"/>
              </w:rPr>
            </w:pPr>
            <w:r w:rsidRPr="007917A1">
              <w:rPr>
                <w:rFonts w:ascii="Times New Roman" w:hAnsi="Times New Roman" w:cs="Times New Roman"/>
                <w:sz w:val="20"/>
                <w:szCs w:val="20"/>
                <w:lang w:val="en-US"/>
              </w:rPr>
              <w:t xml:space="preserve">6.2. </w:t>
            </w:r>
            <w:r w:rsidR="00886248" w:rsidRPr="007917A1">
              <w:rPr>
                <w:rFonts w:ascii="Times New Roman" w:hAnsi="Times New Roman" w:cs="Times New Roman"/>
                <w:sz w:val="20"/>
                <w:szCs w:val="20"/>
                <w:lang w:val="en-US"/>
              </w:rPr>
              <w:t>&lt;</w:t>
            </w:r>
            <w:r w:rsidR="00886248" w:rsidRPr="007917A1">
              <w:rPr>
                <w:rFonts w:ascii="Times New Roman" w:hAnsi="Times New Roman" w:cs="Times New Roman"/>
                <w:sz w:val="20"/>
                <w:szCs w:val="20"/>
              </w:rPr>
              <w:t>0,5%</w:t>
            </w:r>
          </w:p>
        </w:tc>
      </w:tr>
      <w:tr w:rsidR="00B80C44" w:rsidRPr="007917A1" w:rsidTr="004B5B87">
        <w:trPr>
          <w:jc w:val="center"/>
        </w:trPr>
        <w:tc>
          <w:tcPr>
            <w:tcW w:w="3340" w:type="dxa"/>
            <w:vAlign w:val="center"/>
          </w:tcPr>
          <w:p w:rsidR="004B5B87" w:rsidRPr="007917A1" w:rsidRDefault="00903108" w:rsidP="00C82BF7">
            <w:pPr>
              <w:pStyle w:val="a5"/>
              <w:numPr>
                <w:ilvl w:val="0"/>
                <w:numId w:val="24"/>
              </w:numPr>
              <w:jc w:val="both"/>
              <w:rPr>
                <w:rFonts w:ascii="Times New Roman" w:hAnsi="Times New Roman" w:cs="Times New Roman"/>
                <w:sz w:val="20"/>
                <w:szCs w:val="20"/>
              </w:rPr>
            </w:pPr>
            <w:r w:rsidRPr="007917A1">
              <w:rPr>
                <w:rFonts w:ascii="Times New Roman" w:hAnsi="Times New Roman" w:cs="Times New Roman"/>
                <w:sz w:val="20"/>
                <w:szCs w:val="20"/>
              </w:rPr>
              <w:t>Показатели эффективности управления ПН, сформированного в результате урегулирования проблемной задолженности</w:t>
            </w:r>
          </w:p>
        </w:tc>
        <w:tc>
          <w:tcPr>
            <w:tcW w:w="4050" w:type="dxa"/>
            <w:vAlign w:val="center"/>
          </w:tcPr>
          <w:p w:rsidR="004B5B87" w:rsidRPr="007917A1" w:rsidRDefault="00903108" w:rsidP="004B5B87">
            <w:pPr>
              <w:pStyle w:val="a5"/>
              <w:ind w:left="0"/>
              <w:jc w:val="both"/>
              <w:rPr>
                <w:rFonts w:ascii="Times New Roman" w:hAnsi="Times New Roman" w:cs="Times New Roman"/>
                <w:sz w:val="20"/>
                <w:szCs w:val="20"/>
              </w:rPr>
            </w:pPr>
            <w:r w:rsidRPr="007917A1">
              <w:rPr>
                <w:rFonts w:ascii="Times New Roman" w:hAnsi="Times New Roman" w:cs="Times New Roman"/>
                <w:sz w:val="20"/>
                <w:szCs w:val="20"/>
              </w:rPr>
              <w:t>7.1. Показатель оборачиваемости ПН, сформированного в результате урегулирования проблемной задолженности</w:t>
            </w:r>
          </w:p>
          <w:p w:rsidR="00903108" w:rsidRPr="007917A1" w:rsidRDefault="00903108" w:rsidP="004B5B87">
            <w:pPr>
              <w:pStyle w:val="a5"/>
              <w:ind w:left="0"/>
              <w:jc w:val="both"/>
              <w:rPr>
                <w:rFonts w:ascii="Times New Roman" w:hAnsi="Times New Roman" w:cs="Times New Roman"/>
                <w:sz w:val="20"/>
                <w:szCs w:val="20"/>
              </w:rPr>
            </w:pPr>
            <w:r w:rsidRPr="007917A1">
              <w:rPr>
                <w:rFonts w:ascii="Times New Roman" w:hAnsi="Times New Roman" w:cs="Times New Roman"/>
                <w:sz w:val="20"/>
                <w:szCs w:val="20"/>
              </w:rPr>
              <w:t xml:space="preserve">7.2. Показатель </w:t>
            </w:r>
            <w:r w:rsidR="0099001D" w:rsidRPr="007917A1">
              <w:rPr>
                <w:rFonts w:ascii="Times New Roman" w:hAnsi="Times New Roman" w:cs="Times New Roman"/>
                <w:sz w:val="20"/>
                <w:szCs w:val="20"/>
              </w:rPr>
              <w:t>возмещения стоимости проблемных активов (проблемных кредитов под залог недвижимости</w:t>
            </w:r>
            <w:r w:rsidR="00791EA3" w:rsidRPr="007917A1">
              <w:rPr>
                <w:rStyle w:val="a8"/>
                <w:rFonts w:ascii="Times New Roman" w:hAnsi="Times New Roman" w:cs="Times New Roman"/>
                <w:sz w:val="20"/>
                <w:szCs w:val="20"/>
              </w:rPr>
              <w:footnoteReference w:id="11"/>
            </w:r>
            <w:r w:rsidR="0099001D" w:rsidRPr="007917A1">
              <w:rPr>
                <w:rFonts w:ascii="Times New Roman" w:hAnsi="Times New Roman" w:cs="Times New Roman"/>
                <w:sz w:val="20"/>
                <w:szCs w:val="20"/>
              </w:rPr>
              <w:t>)</w:t>
            </w:r>
          </w:p>
        </w:tc>
        <w:tc>
          <w:tcPr>
            <w:tcW w:w="1946" w:type="dxa"/>
            <w:vAlign w:val="center"/>
          </w:tcPr>
          <w:p w:rsidR="0099001D" w:rsidRPr="007917A1" w:rsidRDefault="0099001D" w:rsidP="005B418E">
            <w:pPr>
              <w:rPr>
                <w:rFonts w:ascii="Times New Roman" w:hAnsi="Times New Roman" w:cs="Times New Roman"/>
                <w:sz w:val="20"/>
                <w:szCs w:val="20"/>
              </w:rPr>
            </w:pPr>
            <w:r w:rsidRPr="007917A1">
              <w:rPr>
                <w:rFonts w:ascii="Times New Roman" w:hAnsi="Times New Roman" w:cs="Times New Roman"/>
                <w:sz w:val="20"/>
                <w:szCs w:val="20"/>
              </w:rPr>
              <w:t>7.1. Средний период нахождения на балансе до реализации &lt;1 года</w:t>
            </w:r>
          </w:p>
          <w:p w:rsidR="0099001D" w:rsidRPr="007917A1" w:rsidRDefault="0099001D" w:rsidP="005B418E">
            <w:pPr>
              <w:rPr>
                <w:rFonts w:ascii="Times New Roman" w:hAnsi="Times New Roman" w:cs="Times New Roman"/>
                <w:sz w:val="20"/>
                <w:szCs w:val="20"/>
              </w:rPr>
            </w:pPr>
            <w:r w:rsidRPr="007917A1">
              <w:rPr>
                <w:rFonts w:ascii="Times New Roman" w:hAnsi="Times New Roman" w:cs="Times New Roman"/>
                <w:sz w:val="20"/>
                <w:szCs w:val="20"/>
              </w:rPr>
              <w:t>7.2. Исходя из отраслевой практики, в среднем &gt;60%</w:t>
            </w:r>
          </w:p>
        </w:tc>
      </w:tr>
    </w:tbl>
    <w:p w:rsidR="00B80C44" w:rsidRPr="007917A1" w:rsidRDefault="00B80C44" w:rsidP="00B80C44">
      <w:pPr>
        <w:rPr>
          <w:rFonts w:ascii="Times New Roman" w:eastAsia="Times New Roman" w:hAnsi="Times New Roman" w:cs="Times New Roman"/>
          <w:i/>
          <w:sz w:val="16"/>
          <w:szCs w:val="16"/>
          <w:lang w:eastAsia="ru-RU"/>
        </w:rPr>
      </w:pPr>
      <w:r w:rsidRPr="007917A1">
        <w:rPr>
          <w:rFonts w:ascii="Times New Roman" w:eastAsia="Times New Roman" w:hAnsi="Times New Roman" w:cs="Times New Roman"/>
          <w:i/>
          <w:sz w:val="16"/>
          <w:szCs w:val="16"/>
          <w:lang w:eastAsia="ru-RU"/>
        </w:rPr>
        <w:t>Источник: предложения авторов</w:t>
      </w:r>
    </w:p>
    <w:p w:rsidR="0099001D" w:rsidRPr="007917A1" w:rsidRDefault="0099001D"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Система показателей стоимостного управления ПН является комплексной и сбалансированной (включающей показатели по различным категориям недвижимых активов на балансе кредитной организации</w:t>
      </w:r>
      <w:r w:rsidR="00D6422B" w:rsidRPr="007917A1">
        <w:rPr>
          <w:rFonts w:ascii="Times New Roman" w:hAnsi="Times New Roman" w:cs="Times New Roman"/>
          <w:sz w:val="24"/>
          <w:szCs w:val="24"/>
        </w:rPr>
        <w:t>, влияющие на различные аспекты её деятельности</w:t>
      </w:r>
      <w:r w:rsidRPr="007917A1">
        <w:rPr>
          <w:rFonts w:ascii="Times New Roman" w:hAnsi="Times New Roman" w:cs="Times New Roman"/>
          <w:sz w:val="24"/>
          <w:szCs w:val="24"/>
        </w:rPr>
        <w:t xml:space="preserve">), при этом состав показателей и их целевые значения могут адаптироваться с учётом специфики отдельных кредитных организаций, их финансового состояния, </w:t>
      </w:r>
      <w:r w:rsidR="00D042BC" w:rsidRPr="007917A1">
        <w:rPr>
          <w:rFonts w:ascii="Times New Roman" w:hAnsi="Times New Roman" w:cs="Times New Roman"/>
          <w:sz w:val="24"/>
          <w:szCs w:val="24"/>
        </w:rPr>
        <w:t xml:space="preserve">а также </w:t>
      </w:r>
      <w:r w:rsidR="006C6CC3" w:rsidRPr="007917A1">
        <w:rPr>
          <w:rFonts w:ascii="Times New Roman" w:hAnsi="Times New Roman" w:cs="Times New Roman"/>
          <w:sz w:val="24"/>
          <w:szCs w:val="24"/>
        </w:rPr>
        <w:t>параметров банковского регулирования</w:t>
      </w:r>
      <w:r w:rsidR="00D042BC" w:rsidRPr="007917A1">
        <w:rPr>
          <w:rFonts w:ascii="Times New Roman" w:hAnsi="Times New Roman" w:cs="Times New Roman"/>
          <w:sz w:val="24"/>
          <w:szCs w:val="24"/>
        </w:rPr>
        <w:t xml:space="preserve"> (в случае их изменения)</w:t>
      </w:r>
      <w:r w:rsidR="006C6CC3" w:rsidRPr="007917A1">
        <w:rPr>
          <w:rFonts w:ascii="Times New Roman" w:hAnsi="Times New Roman" w:cs="Times New Roman"/>
          <w:sz w:val="24"/>
          <w:szCs w:val="24"/>
        </w:rPr>
        <w:t>.</w:t>
      </w:r>
    </w:p>
    <w:p w:rsidR="003F7B7E" w:rsidRPr="007917A1" w:rsidRDefault="003F7B7E"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Таким образом, в качестве главного фактора формирования стоимости ПН предлагается рассматривать степень удовлетворения потребностей кредитной организации в объектах недвижимости в целях её уставной операционной деятельности</w:t>
      </w:r>
      <w:r w:rsidR="00D042BC" w:rsidRPr="007917A1">
        <w:rPr>
          <w:rFonts w:ascii="Times New Roman" w:hAnsi="Times New Roman" w:cs="Times New Roman"/>
          <w:sz w:val="24"/>
          <w:szCs w:val="24"/>
        </w:rPr>
        <w:t>, а также качество управления активами ПН, поступившими в рамках урегулирования проблемной задолженности</w:t>
      </w:r>
      <w:r w:rsidRPr="007917A1">
        <w:rPr>
          <w:rFonts w:ascii="Times New Roman" w:hAnsi="Times New Roman" w:cs="Times New Roman"/>
          <w:sz w:val="24"/>
          <w:szCs w:val="24"/>
        </w:rPr>
        <w:t>.</w:t>
      </w:r>
    </w:p>
    <w:p w:rsidR="003F7B7E" w:rsidRPr="007917A1" w:rsidRDefault="003F7B7E"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 xml:space="preserve">При этом необходимо подчеркнуть, что НЭИ объекта, оцениваемого изолированно, может отличаться от его НЭИ в составе группы активов, когда необходимо учитывать вклад актива в общую стоимость. Поэтому основная предпосылка анализа НЭИ при оценке стоимости ПН требует замены критерия максимальной стоимости конкретного объекта недвижимости на максимальную стоимость банка в целом, </w:t>
      </w:r>
      <w:proofErr w:type="gramStart"/>
      <w:r w:rsidRPr="007917A1">
        <w:rPr>
          <w:rFonts w:ascii="Times New Roman" w:hAnsi="Times New Roman" w:cs="Times New Roman"/>
          <w:sz w:val="24"/>
          <w:szCs w:val="24"/>
        </w:rPr>
        <w:t>которая</w:t>
      </w:r>
      <w:proofErr w:type="gramEnd"/>
      <w:r w:rsidRPr="007917A1">
        <w:rPr>
          <w:rFonts w:ascii="Times New Roman" w:hAnsi="Times New Roman" w:cs="Times New Roman"/>
          <w:sz w:val="24"/>
          <w:szCs w:val="24"/>
        </w:rPr>
        <w:t xml:space="preserve"> будучи достигнутой будет отражать и максимальную стоимость ПН.</w:t>
      </w:r>
    </w:p>
    <w:p w:rsidR="003F7B7E" w:rsidRPr="007917A1" w:rsidRDefault="003F7B7E"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 xml:space="preserve">На основании изложенного предлагается понимать в качестве НЭИ портфеля недвижимости банка как физически, юридически и экономически сложного системного объекта (имущественного комплекса) такое использование, которое максимизирует </w:t>
      </w:r>
      <w:r w:rsidRPr="007917A1">
        <w:rPr>
          <w:rFonts w:ascii="Times New Roman" w:hAnsi="Times New Roman" w:cs="Times New Roman"/>
          <w:sz w:val="24"/>
          <w:szCs w:val="24"/>
        </w:rPr>
        <w:lastRenderedPageBreak/>
        <w:t>стоимость банка в части оптимального распределения ресурсов в виде недвижимого имущества.</w:t>
      </w:r>
    </w:p>
    <w:p w:rsidR="003F7B7E" w:rsidRPr="007917A1" w:rsidRDefault="006E3596" w:rsidP="004B41CB">
      <w:pPr>
        <w:spacing w:before="120" w:after="0" w:line="360" w:lineRule="auto"/>
        <w:rPr>
          <w:rFonts w:ascii="Times New Roman" w:eastAsia="Times New Roman" w:hAnsi="Times New Roman" w:cs="Times New Roman"/>
          <w:b/>
          <w:sz w:val="24"/>
          <w:szCs w:val="24"/>
          <w:lang w:eastAsia="ru-RU"/>
        </w:rPr>
      </w:pPr>
      <w:r w:rsidRPr="007917A1">
        <w:rPr>
          <w:rFonts w:ascii="Times New Roman" w:eastAsia="Times New Roman" w:hAnsi="Times New Roman" w:cs="Times New Roman"/>
          <w:b/>
          <w:sz w:val="24"/>
          <w:szCs w:val="24"/>
          <w:lang w:eastAsia="ru-RU"/>
        </w:rPr>
        <w:t>Некоторые предложения по развитию тактических методов и инструментов управления стоимостью ПН банков</w:t>
      </w:r>
    </w:p>
    <w:p w:rsidR="006E3596" w:rsidRPr="007917A1" w:rsidRDefault="006E3596" w:rsidP="004B41CB">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 xml:space="preserve">С учётом продемонстрированной положительной обратной связи между состоянием рынка недвижимости и финансовой системы, для обеспечения устойчивости последней необходимо решение комплекса научно-практических задач, связанных с формированием </w:t>
      </w:r>
      <w:proofErr w:type="spellStart"/>
      <w:r w:rsidRPr="007917A1">
        <w:rPr>
          <w:rFonts w:ascii="Times New Roman" w:hAnsi="Times New Roman" w:cs="Times New Roman"/>
          <w:sz w:val="24"/>
          <w:szCs w:val="24"/>
        </w:rPr>
        <w:t>единоообразной</w:t>
      </w:r>
      <w:proofErr w:type="spellEnd"/>
      <w:r w:rsidRPr="007917A1">
        <w:rPr>
          <w:rFonts w:ascii="Times New Roman" w:hAnsi="Times New Roman" w:cs="Times New Roman"/>
          <w:sz w:val="24"/>
          <w:szCs w:val="24"/>
        </w:rPr>
        <w:t xml:space="preserve"> методологической базы управления крупными, территориально распределенными портфелями недвижимости банков, системы мониторинга, анализа и прогнозирования рынка(</w:t>
      </w:r>
      <w:proofErr w:type="spellStart"/>
      <w:r w:rsidRPr="007917A1">
        <w:rPr>
          <w:rFonts w:ascii="Times New Roman" w:hAnsi="Times New Roman" w:cs="Times New Roman"/>
          <w:sz w:val="24"/>
          <w:szCs w:val="24"/>
        </w:rPr>
        <w:t>ов</w:t>
      </w:r>
      <w:proofErr w:type="spellEnd"/>
      <w:r w:rsidRPr="007917A1">
        <w:rPr>
          <w:rFonts w:ascii="Times New Roman" w:hAnsi="Times New Roman" w:cs="Times New Roman"/>
          <w:sz w:val="24"/>
          <w:szCs w:val="24"/>
        </w:rPr>
        <w:t>) недвижимости для целей управления рисками и формирования устойчивой капитальной базы банковского сектора.</w:t>
      </w:r>
    </w:p>
    <w:p w:rsidR="00F66A49" w:rsidRPr="007917A1" w:rsidRDefault="006E3596" w:rsidP="00F66A49">
      <w:pPr>
        <w:spacing w:line="360" w:lineRule="auto"/>
        <w:contextualSpacing/>
        <w:jc w:val="both"/>
        <w:rPr>
          <w:rFonts w:ascii="Times New Roman" w:hAnsi="Times New Roman" w:cs="Times New Roman"/>
          <w:sz w:val="24"/>
          <w:szCs w:val="24"/>
        </w:rPr>
      </w:pPr>
      <w:r w:rsidRPr="007917A1">
        <w:rPr>
          <w:rFonts w:ascii="Times New Roman" w:hAnsi="Times New Roman" w:cs="Times New Roman"/>
          <w:sz w:val="24"/>
          <w:szCs w:val="24"/>
        </w:rPr>
        <w:t xml:space="preserve">В таблице </w:t>
      </w:r>
      <w:r w:rsidR="0021329E" w:rsidRPr="007917A1">
        <w:rPr>
          <w:rFonts w:ascii="Times New Roman" w:hAnsi="Times New Roman" w:cs="Times New Roman"/>
          <w:sz w:val="24"/>
          <w:szCs w:val="24"/>
        </w:rPr>
        <w:t>2</w:t>
      </w:r>
      <w:r w:rsidRPr="007917A1">
        <w:rPr>
          <w:rFonts w:ascii="Times New Roman" w:hAnsi="Times New Roman" w:cs="Times New Roman"/>
          <w:sz w:val="24"/>
          <w:szCs w:val="24"/>
        </w:rPr>
        <w:t xml:space="preserve"> представлены общие направления развития теоретических и практических инструментов реализации стратегических положений</w:t>
      </w:r>
      <w:r w:rsidR="007733BF" w:rsidRPr="007917A1">
        <w:rPr>
          <w:rFonts w:ascii="Times New Roman" w:hAnsi="Times New Roman" w:cs="Times New Roman"/>
          <w:sz w:val="24"/>
          <w:szCs w:val="24"/>
        </w:rPr>
        <w:t>, необходимых для формирования комплексной системы управления недвижимостью банков, охватывающей как компонент корпоративной (операционной, используемой в основной деятельности), так и недвижимости неиспользуемой в основной деятельности (в том числе инвестиционной недвижимости)</w:t>
      </w:r>
      <w:r w:rsidRPr="007917A1">
        <w:rPr>
          <w:rFonts w:ascii="Times New Roman" w:hAnsi="Times New Roman" w:cs="Times New Roman"/>
          <w:sz w:val="24"/>
          <w:szCs w:val="24"/>
        </w:rPr>
        <w:t>.</w:t>
      </w:r>
      <w:r w:rsidR="003027F3" w:rsidRPr="007917A1">
        <w:rPr>
          <w:rFonts w:ascii="Times New Roman" w:hAnsi="Times New Roman" w:cs="Times New Roman"/>
          <w:sz w:val="24"/>
          <w:szCs w:val="24"/>
        </w:rPr>
        <w:t xml:space="preserve"> Применение указанных инструментов необходимо не только с точки зрения управления текущими портфелями недвижимости (уже находящимися на балансах банков), но и ставит целью сформиро</w:t>
      </w:r>
      <w:r w:rsidR="00F66A49" w:rsidRPr="007917A1">
        <w:rPr>
          <w:rFonts w:ascii="Times New Roman" w:hAnsi="Times New Roman" w:cs="Times New Roman"/>
          <w:sz w:val="24"/>
          <w:szCs w:val="24"/>
        </w:rPr>
        <w:t>вать инструментарий управления на</w:t>
      </w:r>
      <w:r w:rsidR="003027F3" w:rsidRPr="007917A1">
        <w:rPr>
          <w:rFonts w:ascii="Times New Roman" w:hAnsi="Times New Roman" w:cs="Times New Roman"/>
          <w:sz w:val="24"/>
          <w:szCs w:val="24"/>
        </w:rPr>
        <w:t xml:space="preserve"> случа</w:t>
      </w:r>
      <w:r w:rsidR="00F66A49" w:rsidRPr="007917A1">
        <w:rPr>
          <w:rFonts w:ascii="Times New Roman" w:hAnsi="Times New Roman" w:cs="Times New Roman"/>
          <w:sz w:val="24"/>
          <w:szCs w:val="24"/>
        </w:rPr>
        <w:t>й</w:t>
      </w:r>
      <w:r w:rsidR="003027F3" w:rsidRPr="007917A1">
        <w:rPr>
          <w:rFonts w:ascii="Times New Roman" w:hAnsi="Times New Roman" w:cs="Times New Roman"/>
          <w:sz w:val="24"/>
          <w:szCs w:val="24"/>
        </w:rPr>
        <w:t xml:space="preserve"> существенного увеличения </w:t>
      </w:r>
      <w:r w:rsidR="00F66A49" w:rsidRPr="007917A1">
        <w:rPr>
          <w:rFonts w:ascii="Times New Roman" w:hAnsi="Times New Roman" w:cs="Times New Roman"/>
          <w:sz w:val="24"/>
          <w:szCs w:val="24"/>
        </w:rPr>
        <w:t xml:space="preserve">размеров </w:t>
      </w:r>
      <w:r w:rsidR="003027F3" w:rsidRPr="007917A1">
        <w:rPr>
          <w:rFonts w:ascii="Times New Roman" w:hAnsi="Times New Roman" w:cs="Times New Roman"/>
          <w:sz w:val="24"/>
          <w:szCs w:val="24"/>
        </w:rPr>
        <w:t>портфелей недвижимости (</w:t>
      </w:r>
      <w:r w:rsidR="006E6437" w:rsidRPr="007917A1">
        <w:rPr>
          <w:rFonts w:ascii="Times New Roman" w:hAnsi="Times New Roman" w:cs="Times New Roman"/>
          <w:sz w:val="24"/>
          <w:szCs w:val="24"/>
        </w:rPr>
        <w:t>и доли недвижимости в активах банковского сектора</w:t>
      </w:r>
      <w:r w:rsidR="003027F3" w:rsidRPr="007917A1">
        <w:rPr>
          <w:rFonts w:ascii="Times New Roman" w:hAnsi="Times New Roman" w:cs="Times New Roman"/>
          <w:sz w:val="24"/>
          <w:szCs w:val="24"/>
        </w:rPr>
        <w:t>) вследств</w:t>
      </w:r>
      <w:r w:rsidR="006E6437" w:rsidRPr="007917A1">
        <w:rPr>
          <w:rFonts w:ascii="Times New Roman" w:hAnsi="Times New Roman" w:cs="Times New Roman"/>
          <w:sz w:val="24"/>
          <w:szCs w:val="24"/>
        </w:rPr>
        <w:t>ие реализации</w:t>
      </w:r>
      <w:r w:rsidR="00C17E7F" w:rsidRPr="007917A1">
        <w:rPr>
          <w:rFonts w:ascii="Times New Roman" w:hAnsi="Times New Roman" w:cs="Times New Roman"/>
          <w:sz w:val="24"/>
          <w:szCs w:val="24"/>
        </w:rPr>
        <w:t xml:space="preserve"> </w:t>
      </w:r>
      <w:r w:rsidR="006E6437" w:rsidRPr="007917A1">
        <w:rPr>
          <w:rFonts w:ascii="Times New Roman" w:hAnsi="Times New Roman" w:cs="Times New Roman"/>
          <w:sz w:val="24"/>
          <w:szCs w:val="24"/>
        </w:rPr>
        <w:t>неблагоприятно</w:t>
      </w:r>
      <w:r w:rsidR="00C17E7F" w:rsidRPr="007917A1">
        <w:rPr>
          <w:rFonts w:ascii="Times New Roman" w:hAnsi="Times New Roman" w:cs="Times New Roman"/>
          <w:sz w:val="24"/>
          <w:szCs w:val="24"/>
        </w:rPr>
        <w:t xml:space="preserve">го сценария развития банковской системы </w:t>
      </w:r>
      <w:r w:rsidR="00F66A49" w:rsidRPr="007917A1">
        <w:rPr>
          <w:rFonts w:ascii="Times New Roman" w:hAnsi="Times New Roman" w:cs="Times New Roman"/>
          <w:sz w:val="24"/>
          <w:szCs w:val="24"/>
        </w:rPr>
        <w:t xml:space="preserve">– </w:t>
      </w:r>
      <w:r w:rsidR="00C17E7F" w:rsidRPr="007917A1">
        <w:rPr>
          <w:rFonts w:ascii="Times New Roman" w:hAnsi="Times New Roman" w:cs="Times New Roman"/>
          <w:sz w:val="24"/>
          <w:szCs w:val="24"/>
        </w:rPr>
        <w:t>банковского кризиса</w:t>
      </w:r>
      <w:r w:rsidR="00F66A49" w:rsidRPr="007917A1">
        <w:rPr>
          <w:rFonts w:ascii="Times New Roman" w:hAnsi="Times New Roman" w:cs="Times New Roman"/>
          <w:sz w:val="24"/>
          <w:szCs w:val="24"/>
        </w:rPr>
        <w:t>, вызванного существенными изменениями в динамике рынка недвижимости</w:t>
      </w:r>
      <w:r w:rsidR="00C17E7F" w:rsidRPr="007917A1">
        <w:rPr>
          <w:rFonts w:ascii="Times New Roman" w:hAnsi="Times New Roman" w:cs="Times New Roman"/>
          <w:sz w:val="24"/>
          <w:szCs w:val="24"/>
        </w:rPr>
        <w:t>)</w:t>
      </w:r>
      <w:r w:rsidR="008636EF" w:rsidRPr="007917A1">
        <w:rPr>
          <w:rFonts w:ascii="Times New Roman" w:hAnsi="Times New Roman" w:cs="Times New Roman"/>
          <w:sz w:val="24"/>
          <w:szCs w:val="24"/>
        </w:rPr>
        <w:t>.</w:t>
      </w:r>
      <w:r w:rsidR="00C43D2B" w:rsidRPr="007917A1">
        <w:rPr>
          <w:rFonts w:ascii="Times New Roman" w:hAnsi="Times New Roman" w:cs="Times New Roman"/>
          <w:sz w:val="24"/>
          <w:szCs w:val="24"/>
        </w:rPr>
        <w:t xml:space="preserve"> Указанные основные направления, методы и инструменты реализации стратегии стоимостного управления портфелями недвижимости банков сформулированы авторами на основе опыта </w:t>
      </w:r>
      <w:r w:rsidR="0050295E" w:rsidRPr="007917A1">
        <w:rPr>
          <w:rFonts w:ascii="Times New Roman" w:hAnsi="Times New Roman" w:cs="Times New Roman"/>
          <w:sz w:val="24"/>
          <w:szCs w:val="24"/>
        </w:rPr>
        <w:t>анализа и опыта работы с крупными портфелями недвижимости банков.</w:t>
      </w:r>
    </w:p>
    <w:p w:rsidR="00090124" w:rsidRPr="007917A1" w:rsidRDefault="005301B8" w:rsidP="004B41CB">
      <w:pPr>
        <w:pStyle w:val="a5"/>
        <w:spacing w:after="0" w:line="360" w:lineRule="auto"/>
        <w:ind w:left="0"/>
        <w:jc w:val="both"/>
        <w:rPr>
          <w:rFonts w:ascii="Times New Roman" w:hAnsi="Times New Roman" w:cs="Times New Roman"/>
          <w:b/>
          <w:i/>
          <w:sz w:val="24"/>
          <w:szCs w:val="24"/>
        </w:rPr>
      </w:pPr>
      <w:r w:rsidRPr="007917A1">
        <w:rPr>
          <w:rFonts w:ascii="Times New Roman" w:hAnsi="Times New Roman" w:cs="Times New Roman"/>
          <w:b/>
          <w:i/>
          <w:sz w:val="24"/>
          <w:szCs w:val="24"/>
        </w:rPr>
        <w:t xml:space="preserve">Таблица </w:t>
      </w:r>
      <w:r w:rsidRPr="007917A1">
        <w:rPr>
          <w:rFonts w:ascii="Times New Roman" w:hAnsi="Times New Roman" w:cs="Times New Roman"/>
          <w:b/>
          <w:i/>
          <w:sz w:val="24"/>
          <w:szCs w:val="24"/>
        </w:rPr>
        <w:fldChar w:fldCharType="begin"/>
      </w:r>
      <w:r w:rsidRPr="007917A1">
        <w:rPr>
          <w:rFonts w:ascii="Times New Roman" w:hAnsi="Times New Roman" w:cs="Times New Roman"/>
          <w:b/>
          <w:i/>
          <w:sz w:val="24"/>
          <w:szCs w:val="24"/>
        </w:rPr>
        <w:instrText xml:space="preserve"> SEQ Таблица \* ARABIC </w:instrText>
      </w:r>
      <w:r w:rsidRPr="007917A1">
        <w:rPr>
          <w:rFonts w:ascii="Times New Roman" w:hAnsi="Times New Roman" w:cs="Times New Roman"/>
          <w:b/>
          <w:i/>
          <w:sz w:val="24"/>
          <w:szCs w:val="24"/>
        </w:rPr>
        <w:fldChar w:fldCharType="separate"/>
      </w:r>
      <w:r w:rsidR="005A23D0" w:rsidRPr="007917A1">
        <w:rPr>
          <w:rFonts w:ascii="Times New Roman" w:hAnsi="Times New Roman" w:cs="Times New Roman"/>
          <w:b/>
          <w:i/>
          <w:noProof/>
          <w:sz w:val="24"/>
          <w:szCs w:val="24"/>
        </w:rPr>
        <w:t>2</w:t>
      </w:r>
      <w:r w:rsidRPr="007917A1">
        <w:rPr>
          <w:rFonts w:ascii="Times New Roman" w:hAnsi="Times New Roman" w:cs="Times New Roman"/>
          <w:b/>
          <w:i/>
          <w:sz w:val="24"/>
          <w:szCs w:val="24"/>
        </w:rPr>
        <w:fldChar w:fldCharType="end"/>
      </w:r>
    </w:p>
    <w:p w:rsidR="002411C7" w:rsidRPr="007917A1" w:rsidRDefault="002411C7" w:rsidP="004B41CB">
      <w:pPr>
        <w:pStyle w:val="a5"/>
        <w:spacing w:after="0" w:line="360" w:lineRule="auto"/>
        <w:ind w:left="0"/>
        <w:jc w:val="both"/>
        <w:rPr>
          <w:rFonts w:ascii="Times New Roman" w:hAnsi="Times New Roman" w:cs="Times New Roman"/>
          <w:b/>
          <w:sz w:val="24"/>
          <w:szCs w:val="24"/>
        </w:rPr>
      </w:pPr>
      <w:r w:rsidRPr="007917A1">
        <w:rPr>
          <w:rFonts w:ascii="Times New Roman" w:hAnsi="Times New Roman" w:cs="Times New Roman"/>
          <w:b/>
          <w:sz w:val="24"/>
          <w:szCs w:val="24"/>
        </w:rPr>
        <w:t>Основные направления, методы и инструменты реализации стратегии стоимостного управления ПН банка</w:t>
      </w:r>
    </w:p>
    <w:tbl>
      <w:tblPr>
        <w:tblStyle w:val="af"/>
        <w:tblW w:w="9386" w:type="dxa"/>
        <w:tblInd w:w="108" w:type="dxa"/>
        <w:tblLook w:val="04A0" w:firstRow="1" w:lastRow="0" w:firstColumn="1" w:lastColumn="0" w:noHBand="0" w:noVBand="1"/>
      </w:tblPr>
      <w:tblGrid>
        <w:gridCol w:w="2385"/>
        <w:gridCol w:w="3863"/>
        <w:gridCol w:w="3138"/>
      </w:tblGrid>
      <w:tr w:rsidR="002411C7" w:rsidRPr="007917A1" w:rsidTr="003A5732">
        <w:trPr>
          <w:tblHeader/>
        </w:trPr>
        <w:tc>
          <w:tcPr>
            <w:tcW w:w="2385" w:type="dxa"/>
            <w:vAlign w:val="center"/>
          </w:tcPr>
          <w:p w:rsidR="002411C7" w:rsidRPr="007917A1" w:rsidRDefault="002411C7" w:rsidP="004B5B87">
            <w:pPr>
              <w:jc w:val="center"/>
              <w:rPr>
                <w:rFonts w:ascii="Times New Roman" w:hAnsi="Times New Roman" w:cs="Times New Roman"/>
                <w:b/>
                <w:sz w:val="20"/>
                <w:szCs w:val="20"/>
              </w:rPr>
            </w:pPr>
            <w:r w:rsidRPr="007917A1">
              <w:rPr>
                <w:rFonts w:ascii="Times New Roman" w:hAnsi="Times New Roman" w:cs="Times New Roman"/>
                <w:b/>
                <w:sz w:val="20"/>
                <w:szCs w:val="20"/>
              </w:rPr>
              <w:t>Направления</w:t>
            </w:r>
          </w:p>
        </w:tc>
        <w:tc>
          <w:tcPr>
            <w:tcW w:w="3863" w:type="dxa"/>
            <w:vAlign w:val="center"/>
          </w:tcPr>
          <w:p w:rsidR="002411C7" w:rsidRPr="007917A1" w:rsidRDefault="002411C7" w:rsidP="004B5B87">
            <w:pPr>
              <w:jc w:val="center"/>
              <w:rPr>
                <w:rFonts w:ascii="Times New Roman" w:hAnsi="Times New Roman" w:cs="Times New Roman"/>
                <w:b/>
                <w:sz w:val="20"/>
                <w:szCs w:val="20"/>
              </w:rPr>
            </w:pPr>
            <w:r w:rsidRPr="007917A1">
              <w:rPr>
                <w:rFonts w:ascii="Times New Roman" w:hAnsi="Times New Roman" w:cs="Times New Roman"/>
                <w:b/>
                <w:sz w:val="20"/>
                <w:szCs w:val="20"/>
              </w:rPr>
              <w:t>Методы</w:t>
            </w:r>
          </w:p>
        </w:tc>
        <w:tc>
          <w:tcPr>
            <w:tcW w:w="3138" w:type="dxa"/>
            <w:vAlign w:val="center"/>
          </w:tcPr>
          <w:p w:rsidR="002411C7" w:rsidRPr="007917A1" w:rsidRDefault="002411C7" w:rsidP="004B5B87">
            <w:pPr>
              <w:jc w:val="center"/>
              <w:rPr>
                <w:rFonts w:ascii="Times New Roman" w:hAnsi="Times New Roman" w:cs="Times New Roman"/>
                <w:b/>
                <w:sz w:val="20"/>
                <w:szCs w:val="20"/>
              </w:rPr>
            </w:pPr>
            <w:r w:rsidRPr="007917A1">
              <w:rPr>
                <w:rFonts w:ascii="Times New Roman" w:hAnsi="Times New Roman" w:cs="Times New Roman"/>
                <w:b/>
                <w:sz w:val="20"/>
                <w:szCs w:val="20"/>
              </w:rPr>
              <w:t>Инструменты</w:t>
            </w:r>
          </w:p>
        </w:tc>
      </w:tr>
      <w:tr w:rsidR="002411C7" w:rsidRPr="007917A1" w:rsidTr="004B41CB">
        <w:tc>
          <w:tcPr>
            <w:tcW w:w="2385" w:type="dxa"/>
            <w:vMerge w:val="restart"/>
            <w:vAlign w:val="center"/>
          </w:tcPr>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1. Определение количественного и качественного состава объектов ПН</w:t>
            </w: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 xml:space="preserve">1.1. Формирование реестра недвижимости банка с учётом местоположения, вида объекта, площади, цели использования, юридических прав на недвижимость (включая земельные участки), юридического статуса объектов (право на объект и земельный участок </w:t>
            </w:r>
            <w:r w:rsidRPr="007917A1">
              <w:rPr>
                <w:rFonts w:ascii="Times New Roman" w:hAnsi="Times New Roman" w:cs="Times New Roman"/>
                <w:sz w:val="20"/>
                <w:szCs w:val="20"/>
              </w:rPr>
              <w:lastRenderedPageBreak/>
              <w:t>зарегистрировано/не зарегистрировано, объект и участок поставлены/не поставлены на кадастровый учёт), полной стоимости эксплуатации, арендной платы за объект, фактической загруженности объекта</w:t>
            </w:r>
          </w:p>
        </w:tc>
        <w:tc>
          <w:tcPr>
            <w:tcW w:w="3138" w:type="dxa"/>
            <w:vMerge w:val="restart"/>
            <w:vAlign w:val="center"/>
          </w:tcPr>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lastRenderedPageBreak/>
              <w:t>Информационно-аналитические инструменты:</w:t>
            </w:r>
          </w:p>
          <w:p w:rsidR="00D042BC" w:rsidRPr="007917A1" w:rsidRDefault="00D042BC" w:rsidP="004B5B87">
            <w:pPr>
              <w:rPr>
                <w:rFonts w:ascii="Times New Roman" w:hAnsi="Times New Roman" w:cs="Times New Roman"/>
                <w:sz w:val="20"/>
                <w:szCs w:val="20"/>
              </w:rPr>
            </w:pPr>
            <w:r w:rsidRPr="007917A1">
              <w:rPr>
                <w:rFonts w:ascii="Times New Roman" w:hAnsi="Times New Roman" w:cs="Times New Roman"/>
                <w:sz w:val="20"/>
                <w:szCs w:val="20"/>
              </w:rPr>
              <w:t>- автоматизированные системы управления портфеля недвижимости</w:t>
            </w:r>
            <w:r w:rsidR="007733BF" w:rsidRPr="007917A1">
              <w:rPr>
                <w:rFonts w:ascii="Times New Roman" w:hAnsi="Times New Roman" w:cs="Times New Roman"/>
                <w:sz w:val="20"/>
                <w:szCs w:val="20"/>
              </w:rPr>
              <w:t xml:space="preserve"> (см. пример</w:t>
            </w:r>
            <w:r w:rsidR="007733BF" w:rsidRPr="007917A1">
              <w:rPr>
                <w:rStyle w:val="a8"/>
                <w:rFonts w:ascii="Times New Roman" w:hAnsi="Times New Roman" w:cs="Times New Roman"/>
                <w:sz w:val="20"/>
                <w:szCs w:val="20"/>
              </w:rPr>
              <w:footnoteReference w:id="12"/>
            </w:r>
            <w:r w:rsidR="007733BF" w:rsidRPr="007917A1">
              <w:rPr>
                <w:rFonts w:ascii="Times New Roman" w:hAnsi="Times New Roman" w:cs="Times New Roman"/>
                <w:sz w:val="20"/>
                <w:szCs w:val="20"/>
              </w:rPr>
              <w:t>)</w:t>
            </w:r>
          </w:p>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 аналитические базы данных</w:t>
            </w:r>
          </w:p>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 xml:space="preserve">- </w:t>
            </w:r>
            <w:r w:rsidR="00D042BC" w:rsidRPr="007917A1">
              <w:rPr>
                <w:rFonts w:ascii="Times New Roman" w:hAnsi="Times New Roman" w:cs="Times New Roman"/>
                <w:sz w:val="20"/>
                <w:szCs w:val="20"/>
              </w:rPr>
              <w:t xml:space="preserve">аналитические инструменты </w:t>
            </w:r>
            <w:r w:rsidR="00D042BC" w:rsidRPr="007917A1">
              <w:rPr>
                <w:rFonts w:ascii="Times New Roman" w:hAnsi="Times New Roman" w:cs="Times New Roman"/>
                <w:sz w:val="20"/>
                <w:szCs w:val="20"/>
              </w:rPr>
              <w:lastRenderedPageBreak/>
              <w:t xml:space="preserve">кластеризации </w:t>
            </w:r>
            <w:r w:rsidRPr="007917A1">
              <w:rPr>
                <w:rFonts w:ascii="Times New Roman" w:hAnsi="Times New Roman" w:cs="Times New Roman"/>
                <w:sz w:val="20"/>
                <w:szCs w:val="20"/>
              </w:rPr>
              <w:t>объектов</w:t>
            </w:r>
            <w:r w:rsidR="00D042BC" w:rsidRPr="007917A1">
              <w:rPr>
                <w:rFonts w:ascii="Times New Roman" w:hAnsi="Times New Roman" w:cs="Times New Roman"/>
                <w:sz w:val="20"/>
                <w:szCs w:val="20"/>
              </w:rPr>
              <w:t xml:space="preserve"> ПН</w:t>
            </w:r>
          </w:p>
          <w:p w:rsidR="002411C7" w:rsidRPr="007917A1" w:rsidRDefault="002411C7" w:rsidP="007733BF">
            <w:pPr>
              <w:rPr>
                <w:rFonts w:ascii="Times New Roman" w:hAnsi="Times New Roman" w:cs="Times New Roman"/>
                <w:sz w:val="20"/>
                <w:szCs w:val="20"/>
              </w:rPr>
            </w:pPr>
            <w:r w:rsidRPr="007917A1">
              <w:rPr>
                <w:rFonts w:ascii="Times New Roman" w:hAnsi="Times New Roman" w:cs="Times New Roman"/>
                <w:sz w:val="20"/>
                <w:szCs w:val="20"/>
              </w:rPr>
              <w:t xml:space="preserve">- </w:t>
            </w:r>
            <w:r w:rsidR="00D042BC" w:rsidRPr="007917A1">
              <w:rPr>
                <w:rFonts w:ascii="Times New Roman" w:hAnsi="Times New Roman" w:cs="Times New Roman"/>
                <w:sz w:val="20"/>
                <w:szCs w:val="20"/>
              </w:rPr>
              <w:t>аналитические инструменты визуализации больших массивов данных о ПН</w:t>
            </w:r>
            <w:r w:rsidR="007733BF" w:rsidRPr="007917A1">
              <w:rPr>
                <w:rFonts w:ascii="Times New Roman" w:hAnsi="Times New Roman" w:cs="Times New Roman"/>
                <w:sz w:val="20"/>
                <w:szCs w:val="20"/>
              </w:rPr>
              <w:t xml:space="preserve"> </w:t>
            </w:r>
            <w:r w:rsidR="00D042BC" w:rsidRPr="007917A1">
              <w:rPr>
                <w:rFonts w:ascii="Times New Roman" w:hAnsi="Times New Roman" w:cs="Times New Roman"/>
                <w:sz w:val="20"/>
                <w:szCs w:val="20"/>
              </w:rPr>
              <w:t>(</w:t>
            </w:r>
            <w:r w:rsidRPr="007917A1">
              <w:rPr>
                <w:rFonts w:ascii="Times New Roman" w:hAnsi="Times New Roman" w:cs="Times New Roman"/>
                <w:sz w:val="20"/>
                <w:szCs w:val="20"/>
              </w:rPr>
              <w:t>диаграммы</w:t>
            </w:r>
            <w:r w:rsidR="00D042BC" w:rsidRPr="007917A1">
              <w:rPr>
                <w:rFonts w:ascii="Times New Roman" w:hAnsi="Times New Roman" w:cs="Times New Roman"/>
                <w:sz w:val="20"/>
                <w:szCs w:val="20"/>
              </w:rPr>
              <w:t xml:space="preserve">, </w:t>
            </w:r>
            <w:r w:rsidRPr="007917A1">
              <w:rPr>
                <w:rFonts w:ascii="Times New Roman" w:hAnsi="Times New Roman" w:cs="Times New Roman"/>
                <w:sz w:val="20"/>
                <w:szCs w:val="20"/>
              </w:rPr>
              <w:t>графики</w:t>
            </w:r>
            <w:r w:rsidR="00D042BC" w:rsidRPr="007917A1">
              <w:rPr>
                <w:rFonts w:ascii="Times New Roman" w:hAnsi="Times New Roman" w:cs="Times New Roman"/>
                <w:sz w:val="20"/>
                <w:szCs w:val="20"/>
              </w:rPr>
              <w:t xml:space="preserve">, </w:t>
            </w:r>
            <w:r w:rsidRPr="007917A1">
              <w:rPr>
                <w:rFonts w:ascii="Times New Roman" w:hAnsi="Times New Roman" w:cs="Times New Roman"/>
                <w:sz w:val="20"/>
                <w:szCs w:val="20"/>
              </w:rPr>
              <w:t>карты данных</w:t>
            </w:r>
            <w:r w:rsidR="00D042BC" w:rsidRPr="007917A1">
              <w:rPr>
                <w:rFonts w:ascii="Times New Roman" w:hAnsi="Times New Roman" w:cs="Times New Roman"/>
                <w:sz w:val="20"/>
                <w:szCs w:val="20"/>
              </w:rPr>
              <w:t>)</w:t>
            </w:r>
          </w:p>
        </w:tc>
      </w:tr>
      <w:tr w:rsidR="002411C7" w:rsidRPr="007917A1" w:rsidTr="004B41CB">
        <w:tc>
          <w:tcPr>
            <w:tcW w:w="2385" w:type="dxa"/>
            <w:vMerge/>
            <w:vAlign w:val="center"/>
          </w:tcPr>
          <w:p w:rsidR="002411C7" w:rsidRPr="007917A1" w:rsidRDefault="002411C7" w:rsidP="004B5B87">
            <w:pPr>
              <w:rPr>
                <w:rFonts w:ascii="Times New Roman" w:hAnsi="Times New Roman" w:cs="Times New Roman"/>
                <w:sz w:val="20"/>
                <w:szCs w:val="20"/>
              </w:rPr>
            </w:pP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1.2. Формирование экономико-географической карты расположения объектов по стране/регионам/крупным городам</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c>
          <w:tcPr>
            <w:tcW w:w="2385" w:type="dxa"/>
            <w:vMerge/>
            <w:vAlign w:val="center"/>
          </w:tcPr>
          <w:p w:rsidR="002411C7" w:rsidRPr="007917A1" w:rsidRDefault="002411C7" w:rsidP="004B5B87">
            <w:pPr>
              <w:rPr>
                <w:rFonts w:ascii="Times New Roman" w:hAnsi="Times New Roman" w:cs="Times New Roman"/>
                <w:sz w:val="20"/>
                <w:szCs w:val="20"/>
              </w:rPr>
            </w:pP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1.3. Определение географических точек роста (необходимо больше офисов банка и сопутствующей недвижимости) и регионов снижения присутствия банка</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c>
          <w:tcPr>
            <w:tcW w:w="2385" w:type="dxa"/>
            <w:vMerge/>
            <w:vAlign w:val="center"/>
          </w:tcPr>
          <w:p w:rsidR="002411C7" w:rsidRPr="007917A1" w:rsidRDefault="002411C7" w:rsidP="004B5B87">
            <w:pPr>
              <w:rPr>
                <w:rFonts w:ascii="Times New Roman" w:hAnsi="Times New Roman" w:cs="Times New Roman"/>
                <w:sz w:val="20"/>
                <w:szCs w:val="20"/>
              </w:rPr>
            </w:pP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1.4. Выделение экономически не оправданных, но социально значимых объектов недвижимости банка</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c>
          <w:tcPr>
            <w:tcW w:w="2385" w:type="dxa"/>
            <w:vMerge w:val="restart"/>
            <w:vAlign w:val="center"/>
          </w:tcPr>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2. Оптимизация структуры ПН</w:t>
            </w: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2.1. Определение объема активной части ПН</w:t>
            </w:r>
          </w:p>
        </w:tc>
        <w:tc>
          <w:tcPr>
            <w:tcW w:w="3138" w:type="dxa"/>
            <w:vMerge w:val="restart"/>
            <w:vAlign w:val="center"/>
          </w:tcPr>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Инструменты экономического анализа:</w:t>
            </w:r>
          </w:p>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 сравнительный анализ</w:t>
            </w:r>
          </w:p>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 корреляционно-регрессионный анализ</w:t>
            </w:r>
          </w:p>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 кластерный анализ</w:t>
            </w:r>
          </w:p>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 пространственно-параметрический анализ</w:t>
            </w:r>
          </w:p>
        </w:tc>
      </w:tr>
      <w:tr w:rsidR="002411C7" w:rsidRPr="007917A1" w:rsidTr="004B41CB">
        <w:tc>
          <w:tcPr>
            <w:tcW w:w="2385" w:type="dxa"/>
            <w:vMerge/>
            <w:vAlign w:val="center"/>
          </w:tcPr>
          <w:p w:rsidR="002411C7" w:rsidRPr="007917A1" w:rsidRDefault="002411C7" w:rsidP="004B5B87">
            <w:pPr>
              <w:rPr>
                <w:rFonts w:ascii="Times New Roman" w:hAnsi="Times New Roman" w:cs="Times New Roman"/>
                <w:sz w:val="20"/>
                <w:szCs w:val="20"/>
              </w:rPr>
            </w:pP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2.2. Определение объема неактивной части ПН и анализ эффективности её текущего использования</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c>
          <w:tcPr>
            <w:tcW w:w="2385" w:type="dxa"/>
            <w:vMerge/>
            <w:vAlign w:val="center"/>
          </w:tcPr>
          <w:p w:rsidR="002411C7" w:rsidRPr="007917A1" w:rsidRDefault="002411C7" w:rsidP="004B5B87">
            <w:pPr>
              <w:rPr>
                <w:rFonts w:ascii="Times New Roman" w:hAnsi="Times New Roman" w:cs="Times New Roman"/>
                <w:sz w:val="20"/>
                <w:szCs w:val="20"/>
              </w:rPr>
            </w:pP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 xml:space="preserve">2.3. Выработка рекомендаций по изменению соотношения активной и неактивной частей ПН </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c>
          <w:tcPr>
            <w:tcW w:w="2385" w:type="dxa"/>
            <w:vMerge/>
            <w:vAlign w:val="center"/>
          </w:tcPr>
          <w:p w:rsidR="002411C7" w:rsidRPr="007917A1" w:rsidRDefault="002411C7" w:rsidP="004B5B87">
            <w:pPr>
              <w:rPr>
                <w:rFonts w:ascii="Times New Roman" w:hAnsi="Times New Roman" w:cs="Times New Roman"/>
                <w:sz w:val="20"/>
                <w:szCs w:val="20"/>
              </w:rPr>
            </w:pP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2.4. Прогноз изменения потребности в офисах банка в связи с предполагаемым развитием онлайн услуг банка</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c>
          <w:tcPr>
            <w:tcW w:w="2385" w:type="dxa"/>
            <w:vMerge/>
            <w:vAlign w:val="center"/>
          </w:tcPr>
          <w:p w:rsidR="002411C7" w:rsidRPr="007917A1" w:rsidRDefault="002411C7" w:rsidP="004B5B87">
            <w:pPr>
              <w:rPr>
                <w:rFonts w:ascii="Times New Roman" w:hAnsi="Times New Roman" w:cs="Times New Roman"/>
                <w:sz w:val="20"/>
                <w:szCs w:val="20"/>
              </w:rPr>
            </w:pP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2.5. Влияние предполагаемого изменения соотношения клиентов банка - физических и юридических лиц - на потребность в офисах банка</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c>
          <w:tcPr>
            <w:tcW w:w="2385" w:type="dxa"/>
            <w:vMerge w:val="restart"/>
            <w:vAlign w:val="center"/>
          </w:tcPr>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 xml:space="preserve">3. Оценка показателей эффективности ПКН </w:t>
            </w: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3.1. Определение рентабельности капитала, вложенного в отдельные группы активов ПН</w:t>
            </w:r>
          </w:p>
        </w:tc>
        <w:tc>
          <w:tcPr>
            <w:tcW w:w="3138" w:type="dxa"/>
            <w:vMerge w:val="restart"/>
            <w:vAlign w:val="center"/>
          </w:tcPr>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Инструменты финансового анализа:</w:t>
            </w:r>
          </w:p>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 коэффициенты рентабельности</w:t>
            </w:r>
          </w:p>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 коэффициенты ликвидности</w:t>
            </w:r>
          </w:p>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 коэффициенты доходности</w:t>
            </w:r>
          </w:p>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 инструменты стоимостной оценки недвижимости</w:t>
            </w:r>
          </w:p>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 калькуляция управленческих затрат</w:t>
            </w:r>
          </w:p>
        </w:tc>
      </w:tr>
      <w:tr w:rsidR="002411C7" w:rsidRPr="007917A1" w:rsidTr="004B41CB">
        <w:tc>
          <w:tcPr>
            <w:tcW w:w="2385" w:type="dxa"/>
            <w:vMerge/>
            <w:vAlign w:val="center"/>
          </w:tcPr>
          <w:p w:rsidR="002411C7" w:rsidRPr="007917A1" w:rsidRDefault="002411C7" w:rsidP="004B5B87">
            <w:pPr>
              <w:rPr>
                <w:rFonts w:ascii="Times New Roman" w:hAnsi="Times New Roman" w:cs="Times New Roman"/>
                <w:sz w:val="20"/>
                <w:szCs w:val="20"/>
              </w:rPr>
            </w:pP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3.2. Оценка ликвидности и рыночной стоимости каждого объекта ПН</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c>
          <w:tcPr>
            <w:tcW w:w="2385" w:type="dxa"/>
            <w:vMerge/>
            <w:vAlign w:val="center"/>
          </w:tcPr>
          <w:p w:rsidR="002411C7" w:rsidRPr="007917A1" w:rsidRDefault="002411C7" w:rsidP="004B5B87">
            <w:pPr>
              <w:rPr>
                <w:rFonts w:ascii="Times New Roman" w:hAnsi="Times New Roman" w:cs="Times New Roman"/>
                <w:sz w:val="20"/>
                <w:szCs w:val="20"/>
              </w:rPr>
            </w:pP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3.3. Оценка уровня ликвидности, стоимости и доходности ПН в целом</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c>
          <w:tcPr>
            <w:tcW w:w="2385" w:type="dxa"/>
            <w:vMerge/>
            <w:vAlign w:val="center"/>
          </w:tcPr>
          <w:p w:rsidR="002411C7" w:rsidRPr="007917A1" w:rsidRDefault="002411C7" w:rsidP="004B5B87">
            <w:pPr>
              <w:rPr>
                <w:rFonts w:ascii="Times New Roman" w:hAnsi="Times New Roman" w:cs="Times New Roman"/>
                <w:sz w:val="20"/>
                <w:szCs w:val="20"/>
              </w:rPr>
            </w:pP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3.4. Оценка затрат на управление ПН</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c>
          <w:tcPr>
            <w:tcW w:w="2385" w:type="dxa"/>
            <w:vAlign w:val="center"/>
          </w:tcPr>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4. Юридическое сопровождение ПН</w:t>
            </w: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4.1. Формирование стандартов юридического сопровождения ПН</w:t>
            </w:r>
          </w:p>
        </w:tc>
        <w:tc>
          <w:tcPr>
            <w:tcW w:w="3138" w:type="dxa"/>
            <w:vMerge w:val="restart"/>
            <w:vAlign w:val="center"/>
          </w:tcPr>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Правовые инструменты</w:t>
            </w:r>
          </w:p>
        </w:tc>
      </w:tr>
      <w:tr w:rsidR="002411C7" w:rsidRPr="007917A1" w:rsidTr="004B41CB">
        <w:tc>
          <w:tcPr>
            <w:tcW w:w="2385" w:type="dxa"/>
            <w:vMerge w:val="restart"/>
            <w:vAlign w:val="center"/>
          </w:tcPr>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5. Оптимизация ПН с точки зрения прав собственности и аренды</w:t>
            </w: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5.1. Определение оптимального соотношения собственной и арендуемой недвижимости банка на основе лучших международных практик (сравнение с банками и другими организациями с развитыми филиальными сетями)</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c>
          <w:tcPr>
            <w:tcW w:w="2385" w:type="dxa"/>
            <w:vMerge/>
            <w:vAlign w:val="center"/>
          </w:tcPr>
          <w:p w:rsidR="002411C7" w:rsidRPr="007917A1" w:rsidRDefault="002411C7" w:rsidP="004B5B87">
            <w:pPr>
              <w:rPr>
                <w:rFonts w:ascii="Times New Roman" w:hAnsi="Times New Roman" w:cs="Times New Roman"/>
                <w:sz w:val="20"/>
                <w:szCs w:val="20"/>
              </w:rPr>
            </w:pP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5.2. Расчет вмененной арендной платы за собственные объекты банка</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c>
          <w:tcPr>
            <w:tcW w:w="2385" w:type="dxa"/>
            <w:vMerge/>
            <w:vAlign w:val="center"/>
          </w:tcPr>
          <w:p w:rsidR="002411C7" w:rsidRPr="007917A1" w:rsidRDefault="002411C7" w:rsidP="004B5B87">
            <w:pPr>
              <w:rPr>
                <w:rFonts w:ascii="Times New Roman" w:hAnsi="Times New Roman" w:cs="Times New Roman"/>
                <w:sz w:val="20"/>
                <w:szCs w:val="20"/>
              </w:rPr>
            </w:pP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5.3. Разработка этапов перехода от текущего к оптимальному соотношению собственной и арендуемой недвижимости</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c>
          <w:tcPr>
            <w:tcW w:w="2385" w:type="dxa"/>
            <w:vMerge w:val="restart"/>
            <w:vAlign w:val="center"/>
          </w:tcPr>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6. Оптимизация архитектуры бизнес-процессов по управлению ПН</w:t>
            </w: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6.1. Поиск наиболее эффективных владельцев для всех бизнес-процессов управления недвижимостью</w:t>
            </w:r>
          </w:p>
        </w:tc>
        <w:tc>
          <w:tcPr>
            <w:tcW w:w="3138" w:type="dxa"/>
            <w:vMerge w:val="restart"/>
            <w:vAlign w:val="center"/>
          </w:tcPr>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Организационных инструменты:</w:t>
            </w:r>
          </w:p>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 формализация бизнес-процессов</w:t>
            </w:r>
          </w:p>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 аудит бизнес-процессов</w:t>
            </w:r>
          </w:p>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 моделирование бизнес-процессов</w:t>
            </w:r>
          </w:p>
        </w:tc>
      </w:tr>
      <w:tr w:rsidR="002411C7" w:rsidRPr="007917A1" w:rsidTr="004B41CB">
        <w:tc>
          <w:tcPr>
            <w:tcW w:w="2385" w:type="dxa"/>
            <w:vMerge/>
            <w:vAlign w:val="center"/>
          </w:tcPr>
          <w:p w:rsidR="002411C7" w:rsidRPr="007917A1" w:rsidRDefault="002411C7" w:rsidP="004B5B87">
            <w:pPr>
              <w:rPr>
                <w:rFonts w:ascii="Times New Roman" w:hAnsi="Times New Roman" w:cs="Times New Roman"/>
                <w:sz w:val="20"/>
                <w:szCs w:val="20"/>
              </w:rPr>
            </w:pP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6.2. Разработка методики передачи бизнес-процессов от текущих владельцев к наиболее эффективным владельцам</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c>
          <w:tcPr>
            <w:tcW w:w="2385" w:type="dxa"/>
            <w:vMerge/>
            <w:vAlign w:val="center"/>
          </w:tcPr>
          <w:p w:rsidR="002411C7" w:rsidRPr="007917A1" w:rsidRDefault="002411C7" w:rsidP="004B5B87">
            <w:pPr>
              <w:rPr>
                <w:rFonts w:ascii="Times New Roman" w:hAnsi="Times New Roman" w:cs="Times New Roman"/>
                <w:sz w:val="20"/>
                <w:szCs w:val="20"/>
              </w:rPr>
            </w:pP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 xml:space="preserve">6.3. Разработка способов методической </w:t>
            </w:r>
            <w:r w:rsidRPr="007917A1">
              <w:rPr>
                <w:rFonts w:ascii="Times New Roman" w:hAnsi="Times New Roman" w:cs="Times New Roman"/>
                <w:sz w:val="20"/>
                <w:szCs w:val="20"/>
              </w:rPr>
              <w:lastRenderedPageBreak/>
              <w:t>поддержки владельцев бизнес-процессов</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c>
          <w:tcPr>
            <w:tcW w:w="2385" w:type="dxa"/>
            <w:vMerge w:val="restart"/>
            <w:vAlign w:val="center"/>
          </w:tcPr>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7. Оценка и минимизация рисков</w:t>
            </w: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7.1. Выявление и оценка рисков, связанных с эксплуатацией собственной и арендованной недвижимости</w:t>
            </w:r>
          </w:p>
        </w:tc>
        <w:tc>
          <w:tcPr>
            <w:tcW w:w="3138" w:type="dxa"/>
            <w:vMerge w:val="restart"/>
            <w:vAlign w:val="center"/>
          </w:tcPr>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Инструменты риск-менеджмента</w:t>
            </w:r>
          </w:p>
        </w:tc>
      </w:tr>
      <w:tr w:rsidR="002411C7" w:rsidRPr="007917A1" w:rsidTr="004B41CB">
        <w:tc>
          <w:tcPr>
            <w:tcW w:w="2385" w:type="dxa"/>
            <w:vMerge/>
            <w:vAlign w:val="center"/>
          </w:tcPr>
          <w:p w:rsidR="002411C7" w:rsidRPr="007917A1" w:rsidRDefault="002411C7" w:rsidP="004B5B87">
            <w:pPr>
              <w:rPr>
                <w:rFonts w:ascii="Times New Roman" w:hAnsi="Times New Roman" w:cs="Times New Roman"/>
                <w:sz w:val="20"/>
                <w:szCs w:val="20"/>
              </w:rPr>
            </w:pP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7.2. Разработка методики снижения выявленных рисков</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c>
          <w:tcPr>
            <w:tcW w:w="2385" w:type="dxa"/>
            <w:vMerge/>
            <w:vAlign w:val="center"/>
          </w:tcPr>
          <w:p w:rsidR="002411C7" w:rsidRPr="007917A1" w:rsidRDefault="002411C7" w:rsidP="004B5B87">
            <w:pPr>
              <w:rPr>
                <w:rFonts w:ascii="Times New Roman" w:hAnsi="Times New Roman" w:cs="Times New Roman"/>
                <w:sz w:val="20"/>
                <w:szCs w:val="20"/>
              </w:rPr>
            </w:pP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7.3. Определение значения коэффициента β для различных групп активов ПН</w:t>
            </w:r>
          </w:p>
        </w:tc>
        <w:tc>
          <w:tcPr>
            <w:tcW w:w="3138" w:type="dxa"/>
            <w:vMerge/>
            <w:vAlign w:val="center"/>
          </w:tcPr>
          <w:p w:rsidR="002411C7" w:rsidRPr="007917A1" w:rsidRDefault="002411C7" w:rsidP="004B5B87">
            <w:pPr>
              <w:rPr>
                <w:rFonts w:ascii="Times New Roman" w:hAnsi="Times New Roman" w:cs="Times New Roman"/>
                <w:sz w:val="20"/>
                <w:szCs w:val="20"/>
              </w:rPr>
            </w:pPr>
          </w:p>
        </w:tc>
      </w:tr>
      <w:tr w:rsidR="002411C7" w:rsidRPr="007917A1" w:rsidTr="004B41CB">
        <w:trPr>
          <w:trHeight w:val="653"/>
        </w:trPr>
        <w:tc>
          <w:tcPr>
            <w:tcW w:w="2385" w:type="dxa"/>
            <w:vAlign w:val="center"/>
          </w:tcPr>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8. Повышение качества существующих и строящихся объектов ПН</w:t>
            </w:r>
          </w:p>
        </w:tc>
        <w:tc>
          <w:tcPr>
            <w:tcW w:w="3863" w:type="dxa"/>
            <w:vAlign w:val="center"/>
          </w:tcPr>
          <w:p w:rsidR="002411C7" w:rsidRPr="007917A1" w:rsidRDefault="002411C7" w:rsidP="004B5B87">
            <w:pPr>
              <w:jc w:val="both"/>
              <w:rPr>
                <w:rFonts w:ascii="Times New Roman" w:hAnsi="Times New Roman" w:cs="Times New Roman"/>
                <w:sz w:val="20"/>
                <w:szCs w:val="20"/>
              </w:rPr>
            </w:pPr>
            <w:r w:rsidRPr="007917A1">
              <w:rPr>
                <w:rFonts w:ascii="Times New Roman" w:hAnsi="Times New Roman" w:cs="Times New Roman"/>
                <w:sz w:val="20"/>
                <w:szCs w:val="20"/>
              </w:rPr>
              <w:t xml:space="preserve">8.1. Разработка корпоративных стандартов строительства, реконструкции, оснащения и технической эксплуатации всех объектов ПН </w:t>
            </w:r>
          </w:p>
        </w:tc>
        <w:tc>
          <w:tcPr>
            <w:tcW w:w="3138" w:type="dxa"/>
            <w:vAlign w:val="center"/>
          </w:tcPr>
          <w:p w:rsidR="002411C7" w:rsidRPr="007917A1" w:rsidRDefault="002411C7" w:rsidP="004B5B87">
            <w:pPr>
              <w:rPr>
                <w:rFonts w:ascii="Times New Roman" w:hAnsi="Times New Roman" w:cs="Times New Roman"/>
                <w:sz w:val="20"/>
                <w:szCs w:val="20"/>
              </w:rPr>
            </w:pPr>
            <w:r w:rsidRPr="007917A1">
              <w:rPr>
                <w:rFonts w:ascii="Times New Roman" w:hAnsi="Times New Roman" w:cs="Times New Roman"/>
                <w:sz w:val="20"/>
                <w:szCs w:val="20"/>
              </w:rPr>
              <w:t xml:space="preserve">Технические </w:t>
            </w:r>
            <w:r w:rsidR="00A17437" w:rsidRPr="007917A1">
              <w:rPr>
                <w:rFonts w:ascii="Times New Roman" w:hAnsi="Times New Roman" w:cs="Times New Roman"/>
                <w:sz w:val="20"/>
                <w:szCs w:val="20"/>
              </w:rPr>
              <w:t>регламенты, стандарты</w:t>
            </w:r>
          </w:p>
        </w:tc>
      </w:tr>
      <w:tr w:rsidR="005B418E" w:rsidRPr="007917A1" w:rsidTr="004B41CB">
        <w:trPr>
          <w:trHeight w:val="960"/>
        </w:trPr>
        <w:tc>
          <w:tcPr>
            <w:tcW w:w="2385" w:type="dxa"/>
            <w:vMerge w:val="restart"/>
            <w:vAlign w:val="center"/>
          </w:tcPr>
          <w:p w:rsidR="005B418E" w:rsidRPr="007917A1" w:rsidRDefault="005B418E" w:rsidP="005B418E">
            <w:pPr>
              <w:rPr>
                <w:rFonts w:ascii="Times New Roman" w:hAnsi="Times New Roman" w:cs="Times New Roman"/>
                <w:sz w:val="20"/>
                <w:szCs w:val="20"/>
              </w:rPr>
            </w:pPr>
            <w:r w:rsidRPr="007917A1">
              <w:rPr>
                <w:rFonts w:ascii="Times New Roman" w:hAnsi="Times New Roman" w:cs="Times New Roman"/>
                <w:sz w:val="20"/>
                <w:szCs w:val="20"/>
              </w:rPr>
              <w:t>9. Оптимальное управление  портфелем недвижимости, сформированным при урегулировании проблемной задолженности</w:t>
            </w:r>
          </w:p>
        </w:tc>
        <w:tc>
          <w:tcPr>
            <w:tcW w:w="3863" w:type="dxa"/>
            <w:vAlign w:val="center"/>
          </w:tcPr>
          <w:p w:rsidR="005B418E" w:rsidRPr="007917A1" w:rsidRDefault="005B418E" w:rsidP="001B3B90">
            <w:pPr>
              <w:jc w:val="both"/>
              <w:rPr>
                <w:rFonts w:ascii="Times New Roman" w:hAnsi="Times New Roman" w:cs="Times New Roman"/>
                <w:sz w:val="20"/>
                <w:szCs w:val="20"/>
              </w:rPr>
            </w:pPr>
            <w:r w:rsidRPr="007917A1">
              <w:rPr>
                <w:rFonts w:ascii="Times New Roman" w:hAnsi="Times New Roman" w:cs="Times New Roman"/>
                <w:sz w:val="20"/>
                <w:szCs w:val="20"/>
              </w:rPr>
              <w:t xml:space="preserve">9.1. </w:t>
            </w:r>
            <w:r w:rsidR="004B5B87" w:rsidRPr="007917A1">
              <w:rPr>
                <w:rFonts w:ascii="Times New Roman" w:hAnsi="Times New Roman" w:cs="Times New Roman"/>
                <w:sz w:val="20"/>
                <w:szCs w:val="20"/>
              </w:rPr>
              <w:t xml:space="preserve">Разработка системы показателей эффективности </w:t>
            </w:r>
            <w:r w:rsidR="00D042BC" w:rsidRPr="007917A1">
              <w:rPr>
                <w:rFonts w:ascii="Times New Roman" w:hAnsi="Times New Roman" w:cs="Times New Roman"/>
                <w:sz w:val="20"/>
                <w:szCs w:val="20"/>
              </w:rPr>
              <w:t>управления ПН, сформированны</w:t>
            </w:r>
            <w:r w:rsidR="001B3B90" w:rsidRPr="007917A1">
              <w:rPr>
                <w:rFonts w:ascii="Times New Roman" w:hAnsi="Times New Roman" w:cs="Times New Roman"/>
                <w:sz w:val="20"/>
                <w:szCs w:val="20"/>
              </w:rPr>
              <w:t>х</w:t>
            </w:r>
            <w:r w:rsidR="00D042BC" w:rsidRPr="007917A1">
              <w:rPr>
                <w:rFonts w:ascii="Times New Roman" w:hAnsi="Times New Roman" w:cs="Times New Roman"/>
                <w:sz w:val="20"/>
                <w:szCs w:val="20"/>
              </w:rPr>
              <w:t xml:space="preserve"> в результате урегулирования проблемной задолженности</w:t>
            </w:r>
          </w:p>
        </w:tc>
        <w:tc>
          <w:tcPr>
            <w:tcW w:w="3138" w:type="dxa"/>
            <w:vMerge w:val="restart"/>
            <w:vAlign w:val="center"/>
          </w:tcPr>
          <w:p w:rsidR="004B5B87" w:rsidRPr="007917A1" w:rsidRDefault="004B5B87" w:rsidP="00D042BC">
            <w:pPr>
              <w:rPr>
                <w:rFonts w:ascii="Times New Roman" w:hAnsi="Times New Roman" w:cs="Times New Roman"/>
                <w:sz w:val="20"/>
                <w:szCs w:val="20"/>
              </w:rPr>
            </w:pPr>
            <w:r w:rsidRPr="007917A1">
              <w:rPr>
                <w:rFonts w:ascii="Times New Roman" w:hAnsi="Times New Roman" w:cs="Times New Roman"/>
                <w:sz w:val="20"/>
                <w:szCs w:val="20"/>
              </w:rPr>
              <w:t>Портфельные инструменты управления ПН в результате урегулирования проблемной задолженности</w:t>
            </w:r>
            <w:r w:rsidR="00D042BC" w:rsidRPr="007917A1">
              <w:rPr>
                <w:rFonts w:ascii="Times New Roman" w:hAnsi="Times New Roman" w:cs="Times New Roman"/>
                <w:sz w:val="20"/>
                <w:szCs w:val="20"/>
              </w:rPr>
              <w:t>, в том числе</w:t>
            </w:r>
            <w:r w:rsidRPr="007917A1">
              <w:rPr>
                <w:rFonts w:ascii="Times New Roman" w:hAnsi="Times New Roman" w:cs="Times New Roman"/>
                <w:sz w:val="20"/>
                <w:szCs w:val="20"/>
              </w:rPr>
              <w:t xml:space="preserve"> инструменты массовой оценки</w:t>
            </w:r>
            <w:r w:rsidR="00D042BC" w:rsidRPr="007917A1">
              <w:rPr>
                <w:rFonts w:ascii="Times New Roman" w:hAnsi="Times New Roman" w:cs="Times New Roman"/>
                <w:sz w:val="20"/>
                <w:szCs w:val="20"/>
              </w:rPr>
              <w:t xml:space="preserve">, система КПЭ реализации объектов ПН </w:t>
            </w:r>
          </w:p>
          <w:p w:rsidR="004B5B87" w:rsidRPr="007917A1" w:rsidRDefault="004B5B87" w:rsidP="004B5B87">
            <w:pPr>
              <w:rPr>
                <w:rFonts w:ascii="Times New Roman" w:hAnsi="Times New Roman" w:cs="Times New Roman"/>
                <w:sz w:val="20"/>
                <w:szCs w:val="20"/>
              </w:rPr>
            </w:pPr>
          </w:p>
        </w:tc>
      </w:tr>
      <w:tr w:rsidR="001B3B90" w:rsidRPr="007917A1" w:rsidTr="001B3B90">
        <w:trPr>
          <w:trHeight w:val="357"/>
        </w:trPr>
        <w:tc>
          <w:tcPr>
            <w:tcW w:w="2385" w:type="dxa"/>
            <w:vMerge/>
            <w:vAlign w:val="center"/>
          </w:tcPr>
          <w:p w:rsidR="005B418E" w:rsidRPr="007917A1" w:rsidRDefault="005B418E" w:rsidP="005B418E">
            <w:pPr>
              <w:rPr>
                <w:rFonts w:ascii="Times New Roman" w:hAnsi="Times New Roman" w:cs="Times New Roman"/>
                <w:sz w:val="20"/>
                <w:szCs w:val="20"/>
              </w:rPr>
            </w:pPr>
          </w:p>
        </w:tc>
        <w:tc>
          <w:tcPr>
            <w:tcW w:w="3863" w:type="dxa"/>
            <w:vAlign w:val="center"/>
          </w:tcPr>
          <w:p w:rsidR="005B418E" w:rsidRPr="007917A1" w:rsidRDefault="005B418E" w:rsidP="004B5B87">
            <w:pPr>
              <w:jc w:val="both"/>
              <w:rPr>
                <w:rFonts w:ascii="Times New Roman" w:hAnsi="Times New Roman" w:cs="Times New Roman"/>
                <w:sz w:val="20"/>
                <w:szCs w:val="20"/>
              </w:rPr>
            </w:pPr>
            <w:r w:rsidRPr="007917A1">
              <w:rPr>
                <w:rFonts w:ascii="Times New Roman" w:hAnsi="Times New Roman" w:cs="Times New Roman"/>
                <w:sz w:val="20"/>
                <w:szCs w:val="20"/>
              </w:rPr>
              <w:t xml:space="preserve">9.2. </w:t>
            </w:r>
            <w:r w:rsidR="00D042BC" w:rsidRPr="007917A1">
              <w:rPr>
                <w:rFonts w:ascii="Times New Roman" w:hAnsi="Times New Roman" w:cs="Times New Roman"/>
                <w:sz w:val="20"/>
                <w:szCs w:val="20"/>
              </w:rPr>
              <w:t>Установление целевых значений показателей</w:t>
            </w:r>
          </w:p>
        </w:tc>
        <w:tc>
          <w:tcPr>
            <w:tcW w:w="3138" w:type="dxa"/>
            <w:vMerge/>
            <w:vAlign w:val="center"/>
          </w:tcPr>
          <w:p w:rsidR="005B418E" w:rsidRPr="007917A1" w:rsidRDefault="005B418E" w:rsidP="004B5B87">
            <w:pPr>
              <w:rPr>
                <w:rFonts w:ascii="Times New Roman" w:hAnsi="Times New Roman" w:cs="Times New Roman"/>
                <w:sz w:val="20"/>
                <w:szCs w:val="20"/>
              </w:rPr>
            </w:pPr>
          </w:p>
        </w:tc>
      </w:tr>
      <w:tr w:rsidR="005B418E" w:rsidRPr="007917A1" w:rsidTr="004B41CB">
        <w:trPr>
          <w:trHeight w:val="960"/>
        </w:trPr>
        <w:tc>
          <w:tcPr>
            <w:tcW w:w="2385" w:type="dxa"/>
            <w:vMerge/>
            <w:vAlign w:val="center"/>
          </w:tcPr>
          <w:p w:rsidR="005B418E" w:rsidRPr="007917A1" w:rsidRDefault="005B418E" w:rsidP="005B418E">
            <w:pPr>
              <w:rPr>
                <w:rFonts w:ascii="Times New Roman" w:hAnsi="Times New Roman" w:cs="Times New Roman"/>
                <w:sz w:val="20"/>
                <w:szCs w:val="20"/>
              </w:rPr>
            </w:pPr>
          </w:p>
        </w:tc>
        <w:tc>
          <w:tcPr>
            <w:tcW w:w="3863" w:type="dxa"/>
            <w:vAlign w:val="center"/>
          </w:tcPr>
          <w:p w:rsidR="005B418E" w:rsidRPr="007917A1" w:rsidRDefault="005B418E" w:rsidP="004B5B87">
            <w:pPr>
              <w:jc w:val="both"/>
              <w:rPr>
                <w:rFonts w:ascii="Times New Roman" w:hAnsi="Times New Roman" w:cs="Times New Roman"/>
                <w:sz w:val="20"/>
                <w:szCs w:val="20"/>
              </w:rPr>
            </w:pPr>
            <w:r w:rsidRPr="007917A1">
              <w:rPr>
                <w:rFonts w:ascii="Times New Roman" w:hAnsi="Times New Roman" w:cs="Times New Roman"/>
                <w:sz w:val="20"/>
                <w:szCs w:val="20"/>
              </w:rPr>
              <w:t xml:space="preserve">9.3. </w:t>
            </w:r>
            <w:r w:rsidR="00D042BC" w:rsidRPr="007917A1">
              <w:rPr>
                <w:rFonts w:ascii="Times New Roman" w:hAnsi="Times New Roman" w:cs="Times New Roman"/>
                <w:sz w:val="20"/>
                <w:szCs w:val="20"/>
              </w:rPr>
              <w:t>Внедрение системы мониторинга эффективностью процесса реализации активов ПН, сформированного в результате урегулирования проблемной задолженности</w:t>
            </w:r>
          </w:p>
        </w:tc>
        <w:tc>
          <w:tcPr>
            <w:tcW w:w="3138" w:type="dxa"/>
            <w:vMerge/>
            <w:vAlign w:val="center"/>
          </w:tcPr>
          <w:p w:rsidR="005B418E" w:rsidRPr="007917A1" w:rsidRDefault="005B418E" w:rsidP="004B5B87">
            <w:pPr>
              <w:rPr>
                <w:rFonts w:ascii="Times New Roman" w:hAnsi="Times New Roman" w:cs="Times New Roman"/>
                <w:sz w:val="20"/>
                <w:szCs w:val="20"/>
              </w:rPr>
            </w:pPr>
          </w:p>
        </w:tc>
      </w:tr>
    </w:tbl>
    <w:p w:rsidR="003027F3" w:rsidRPr="007917A1" w:rsidRDefault="003027F3">
      <w:pPr>
        <w:rPr>
          <w:rFonts w:ascii="Times New Roman" w:eastAsia="Times New Roman" w:hAnsi="Times New Roman" w:cs="Times New Roman"/>
          <w:i/>
          <w:sz w:val="16"/>
          <w:szCs w:val="16"/>
          <w:lang w:eastAsia="ru-RU"/>
        </w:rPr>
      </w:pPr>
      <w:r w:rsidRPr="007917A1">
        <w:rPr>
          <w:rFonts w:ascii="Times New Roman" w:eastAsia="Times New Roman" w:hAnsi="Times New Roman" w:cs="Times New Roman"/>
          <w:i/>
          <w:sz w:val="16"/>
          <w:szCs w:val="16"/>
          <w:lang w:eastAsia="ru-RU"/>
        </w:rPr>
        <w:t>Источник: предложения авторов</w:t>
      </w:r>
    </w:p>
    <w:p w:rsidR="006E3596" w:rsidRPr="007917A1" w:rsidRDefault="00C554D4">
      <w:pPr>
        <w:rPr>
          <w:rFonts w:ascii="Times New Roman" w:eastAsia="Times New Roman" w:hAnsi="Times New Roman" w:cs="Times New Roman"/>
          <w:b/>
          <w:sz w:val="24"/>
          <w:szCs w:val="24"/>
          <w:lang w:eastAsia="ru-RU"/>
        </w:rPr>
      </w:pPr>
      <w:r w:rsidRPr="007917A1">
        <w:rPr>
          <w:rFonts w:ascii="Times New Roman" w:eastAsia="Times New Roman" w:hAnsi="Times New Roman" w:cs="Times New Roman"/>
          <w:b/>
          <w:sz w:val="24"/>
          <w:szCs w:val="24"/>
          <w:lang w:eastAsia="ru-RU"/>
        </w:rPr>
        <w:t>Список литературы</w:t>
      </w:r>
    </w:p>
    <w:p w:rsidR="00D903B1" w:rsidRPr="007917A1" w:rsidRDefault="00D903B1" w:rsidP="00D903B1">
      <w:pPr>
        <w:pStyle w:val="a5"/>
        <w:numPr>
          <w:ilvl w:val="0"/>
          <w:numId w:val="36"/>
        </w:numPr>
        <w:spacing w:line="360" w:lineRule="auto"/>
        <w:ind w:left="426" w:hanging="426"/>
        <w:jc w:val="both"/>
        <w:rPr>
          <w:rFonts w:ascii="Times New Roman" w:hAnsi="Times New Roman" w:cs="Times New Roman"/>
          <w:i/>
          <w:sz w:val="24"/>
          <w:szCs w:val="24"/>
          <w:lang w:val="en-US"/>
        </w:rPr>
      </w:pPr>
      <w:bookmarkStart w:id="5" w:name="_Ref529197179"/>
      <w:bookmarkStart w:id="6" w:name="_Hlk529189614"/>
      <w:r w:rsidRPr="007917A1">
        <w:rPr>
          <w:rFonts w:ascii="Times New Roman" w:hAnsi="Times New Roman" w:cs="Times New Roman"/>
          <w:i/>
          <w:sz w:val="24"/>
          <w:szCs w:val="24"/>
          <w:lang w:val="en-US"/>
        </w:rPr>
        <w:t>Malpezzi</w:t>
      </w:r>
      <w:r w:rsidR="00D55684" w:rsidRPr="007917A1">
        <w:rPr>
          <w:rFonts w:ascii="Times New Roman" w:hAnsi="Times New Roman" w:cs="Times New Roman"/>
          <w:i/>
          <w:sz w:val="24"/>
          <w:szCs w:val="24"/>
          <w:lang w:val="en-US"/>
        </w:rPr>
        <w:t xml:space="preserve"> </w:t>
      </w:r>
      <w:proofErr w:type="gramStart"/>
      <w:r w:rsidR="00D55684" w:rsidRPr="007917A1">
        <w:rPr>
          <w:rFonts w:ascii="Times New Roman" w:hAnsi="Times New Roman" w:cs="Times New Roman"/>
          <w:i/>
          <w:sz w:val="24"/>
          <w:szCs w:val="24"/>
          <w:lang w:val="en-US"/>
        </w:rPr>
        <w:t>S.</w:t>
      </w:r>
      <w:r w:rsidRPr="007917A1">
        <w:rPr>
          <w:rFonts w:ascii="Times New Roman" w:hAnsi="Times New Roman" w:cs="Times New Roman"/>
          <w:i/>
          <w:sz w:val="24"/>
          <w:szCs w:val="24"/>
          <w:lang w:val="en-US"/>
        </w:rPr>
        <w:t>.</w:t>
      </w:r>
      <w:proofErr w:type="gramEnd"/>
      <w:r w:rsidRPr="007917A1">
        <w:rPr>
          <w:rFonts w:ascii="Times New Roman" w:hAnsi="Times New Roman" w:cs="Times New Roman"/>
          <w:i/>
          <w:sz w:val="24"/>
          <w:szCs w:val="24"/>
          <w:lang w:val="en-US"/>
        </w:rPr>
        <w:t xml:space="preserve"> </w:t>
      </w:r>
      <w:r w:rsidRPr="007917A1">
        <w:rPr>
          <w:rFonts w:ascii="Times New Roman" w:hAnsi="Times New Roman" w:cs="Times New Roman"/>
          <w:sz w:val="24"/>
          <w:szCs w:val="24"/>
          <w:lang w:val="en-US"/>
        </w:rPr>
        <w:t xml:space="preserve">Residential Real Estate in the U.S. Financial Crisis, the Great Recession, and their Aftermath. </w:t>
      </w:r>
      <w:proofErr w:type="spellStart"/>
      <w:r w:rsidRPr="007917A1">
        <w:rPr>
          <w:rFonts w:ascii="Times New Roman" w:hAnsi="Times New Roman" w:cs="Times New Roman"/>
          <w:sz w:val="24"/>
          <w:szCs w:val="24"/>
        </w:rPr>
        <w:t>Taiwan</w:t>
      </w:r>
      <w:proofErr w:type="spellEnd"/>
      <w:r w:rsidRPr="007917A1">
        <w:rPr>
          <w:rFonts w:ascii="Times New Roman" w:hAnsi="Times New Roman" w:cs="Times New Roman"/>
          <w:sz w:val="24"/>
          <w:szCs w:val="24"/>
        </w:rPr>
        <w:t xml:space="preserve"> </w:t>
      </w:r>
      <w:proofErr w:type="spellStart"/>
      <w:r w:rsidRPr="007917A1">
        <w:rPr>
          <w:rFonts w:ascii="Times New Roman" w:hAnsi="Times New Roman" w:cs="Times New Roman"/>
          <w:sz w:val="24"/>
          <w:szCs w:val="24"/>
        </w:rPr>
        <w:t>Economic</w:t>
      </w:r>
      <w:proofErr w:type="spellEnd"/>
      <w:r w:rsidRPr="007917A1">
        <w:rPr>
          <w:rFonts w:ascii="Times New Roman" w:hAnsi="Times New Roman" w:cs="Times New Roman"/>
          <w:sz w:val="24"/>
          <w:szCs w:val="24"/>
        </w:rPr>
        <w:t xml:space="preserve"> </w:t>
      </w:r>
      <w:proofErr w:type="spellStart"/>
      <w:r w:rsidRPr="007917A1">
        <w:rPr>
          <w:rFonts w:ascii="Times New Roman" w:hAnsi="Times New Roman" w:cs="Times New Roman"/>
          <w:sz w:val="24"/>
          <w:szCs w:val="24"/>
        </w:rPr>
        <w:t>Review</w:t>
      </w:r>
      <w:proofErr w:type="spellEnd"/>
      <w:r w:rsidRPr="007917A1">
        <w:rPr>
          <w:rFonts w:ascii="Times New Roman" w:hAnsi="Times New Roman" w:cs="Times New Roman"/>
          <w:sz w:val="24"/>
          <w:szCs w:val="24"/>
        </w:rPr>
        <w:t xml:space="preserve">, </w:t>
      </w:r>
      <w:r w:rsidR="00EA3C64" w:rsidRPr="007917A1">
        <w:rPr>
          <w:rFonts w:ascii="Times New Roman" w:hAnsi="Times New Roman" w:cs="Times New Roman"/>
          <w:sz w:val="24"/>
          <w:szCs w:val="24"/>
          <w:lang w:val="en-US"/>
        </w:rPr>
        <w:t xml:space="preserve">no. </w:t>
      </w:r>
      <w:r w:rsidRPr="007917A1">
        <w:rPr>
          <w:rFonts w:ascii="Times New Roman" w:hAnsi="Times New Roman" w:cs="Times New Roman"/>
          <w:sz w:val="24"/>
          <w:szCs w:val="24"/>
        </w:rPr>
        <w:t>45:1</w:t>
      </w:r>
      <w:r w:rsidR="00D55684" w:rsidRPr="007917A1">
        <w:rPr>
          <w:rFonts w:ascii="Times New Roman" w:hAnsi="Times New Roman" w:cs="Times New Roman"/>
          <w:sz w:val="24"/>
          <w:szCs w:val="24"/>
        </w:rPr>
        <w:t xml:space="preserve">, </w:t>
      </w:r>
      <w:r w:rsidRPr="007917A1">
        <w:rPr>
          <w:rFonts w:ascii="Times New Roman" w:hAnsi="Times New Roman" w:cs="Times New Roman"/>
          <w:sz w:val="24"/>
          <w:szCs w:val="24"/>
        </w:rPr>
        <w:t xml:space="preserve">2017, </w:t>
      </w:r>
      <w:r w:rsidR="00E45540" w:rsidRPr="007917A1">
        <w:rPr>
          <w:rFonts w:ascii="Times New Roman" w:hAnsi="Times New Roman" w:cs="Times New Roman"/>
          <w:sz w:val="24"/>
          <w:szCs w:val="24"/>
          <w:lang w:val="en-US"/>
        </w:rPr>
        <w:t>pp</w:t>
      </w:r>
      <w:r w:rsidRPr="007917A1">
        <w:rPr>
          <w:rFonts w:ascii="Times New Roman" w:hAnsi="Times New Roman" w:cs="Times New Roman"/>
          <w:sz w:val="24"/>
          <w:szCs w:val="24"/>
        </w:rPr>
        <w:t>. 5–56.</w:t>
      </w:r>
      <w:bookmarkEnd w:id="5"/>
      <w:r w:rsidR="007855FD" w:rsidRPr="007917A1">
        <w:rPr>
          <w:rFonts w:ascii="Times New Roman" w:hAnsi="Times New Roman" w:cs="Times New Roman"/>
          <w:sz w:val="24"/>
          <w:szCs w:val="24"/>
          <w:lang w:val="en-US"/>
        </w:rPr>
        <w:t xml:space="preserve"> </w:t>
      </w:r>
      <w:proofErr w:type="spellStart"/>
      <w:r w:rsidR="007855FD" w:rsidRPr="007917A1">
        <w:rPr>
          <w:rFonts w:ascii="Times New Roman" w:hAnsi="Times New Roman" w:cs="Times New Roman"/>
          <w:sz w:val="24"/>
          <w:szCs w:val="24"/>
          <w:lang w:val="en-US"/>
        </w:rPr>
        <w:t>doi</w:t>
      </w:r>
      <w:proofErr w:type="spellEnd"/>
      <w:r w:rsidR="007855FD" w:rsidRPr="007917A1">
        <w:rPr>
          <w:rFonts w:ascii="Times New Roman" w:hAnsi="Times New Roman" w:cs="Times New Roman"/>
          <w:sz w:val="24"/>
          <w:szCs w:val="24"/>
          <w:lang w:val="en-US"/>
        </w:rPr>
        <w:t>: 10.6277/TER.2017.451.1</w:t>
      </w:r>
    </w:p>
    <w:p w:rsidR="00D13E2E" w:rsidRPr="007917A1" w:rsidRDefault="00036A63" w:rsidP="00D13E2E">
      <w:pPr>
        <w:pStyle w:val="a5"/>
        <w:numPr>
          <w:ilvl w:val="0"/>
          <w:numId w:val="36"/>
        </w:numPr>
        <w:spacing w:line="360" w:lineRule="auto"/>
        <w:ind w:left="426" w:hanging="426"/>
        <w:jc w:val="both"/>
        <w:rPr>
          <w:rFonts w:ascii="Times New Roman" w:hAnsi="Times New Roman" w:cs="Times New Roman"/>
          <w:sz w:val="24"/>
          <w:szCs w:val="24"/>
          <w:lang w:val="en-US"/>
        </w:rPr>
      </w:pPr>
      <w:bookmarkStart w:id="7" w:name="_Ref529200331"/>
      <w:proofErr w:type="spellStart"/>
      <w:r w:rsidRPr="007917A1">
        <w:rPr>
          <w:rFonts w:ascii="Times New Roman" w:hAnsi="Times New Roman" w:cs="Times New Roman"/>
          <w:i/>
          <w:sz w:val="24"/>
          <w:szCs w:val="24"/>
          <w:lang w:val="en-US"/>
        </w:rPr>
        <w:t>Sutorova</w:t>
      </w:r>
      <w:proofErr w:type="spellEnd"/>
      <w:r w:rsidRPr="007917A1">
        <w:rPr>
          <w:rFonts w:ascii="Times New Roman" w:hAnsi="Times New Roman" w:cs="Times New Roman"/>
          <w:i/>
          <w:sz w:val="24"/>
          <w:szCs w:val="24"/>
          <w:lang w:val="en-US"/>
        </w:rPr>
        <w:t xml:space="preserve"> B.</w:t>
      </w:r>
      <w:r w:rsidR="007C3D2D" w:rsidRPr="007917A1">
        <w:rPr>
          <w:rFonts w:ascii="Times New Roman" w:hAnsi="Times New Roman" w:cs="Times New Roman"/>
          <w:i/>
          <w:sz w:val="24"/>
          <w:szCs w:val="24"/>
          <w:lang w:val="en-US"/>
        </w:rPr>
        <w:t xml:space="preserve">, </w:t>
      </w:r>
      <w:proofErr w:type="spellStart"/>
      <w:r w:rsidR="007C3D2D" w:rsidRPr="007917A1">
        <w:rPr>
          <w:rFonts w:ascii="Times New Roman" w:hAnsi="Times New Roman" w:cs="Times New Roman"/>
          <w:i/>
          <w:sz w:val="24"/>
          <w:szCs w:val="24"/>
          <w:lang w:val="en-US"/>
        </w:rPr>
        <w:t>T</w:t>
      </w:r>
      <w:r w:rsidRPr="007917A1">
        <w:rPr>
          <w:rFonts w:ascii="Times New Roman" w:hAnsi="Times New Roman" w:cs="Times New Roman"/>
          <w:i/>
          <w:sz w:val="24"/>
          <w:szCs w:val="24"/>
          <w:lang w:val="en-US"/>
        </w:rPr>
        <w:t>eply</w:t>
      </w:r>
      <w:proofErr w:type="spellEnd"/>
      <w:r w:rsidRPr="007917A1">
        <w:rPr>
          <w:rFonts w:ascii="Times New Roman" w:hAnsi="Times New Roman" w:cs="Times New Roman"/>
          <w:i/>
          <w:sz w:val="24"/>
          <w:szCs w:val="24"/>
          <w:lang w:val="en-US"/>
        </w:rPr>
        <w:t xml:space="preserve"> P</w:t>
      </w:r>
      <w:r w:rsidR="007C3D2D" w:rsidRPr="007917A1">
        <w:rPr>
          <w:rFonts w:ascii="Times New Roman" w:hAnsi="Times New Roman" w:cs="Times New Roman"/>
          <w:sz w:val="24"/>
          <w:szCs w:val="24"/>
          <w:lang w:val="en-US"/>
        </w:rPr>
        <w:t xml:space="preserve">. </w:t>
      </w:r>
      <w:r w:rsidR="00D13E2E" w:rsidRPr="007917A1">
        <w:rPr>
          <w:rFonts w:ascii="Times New Roman" w:hAnsi="Times New Roman" w:cs="Times New Roman"/>
          <w:sz w:val="24"/>
          <w:szCs w:val="24"/>
          <w:lang w:val="en-US"/>
        </w:rPr>
        <w:t>The Impact of Basel III on Lending Rates of EU Banks</w:t>
      </w:r>
      <w:r w:rsidR="007C3D2D" w:rsidRPr="007917A1">
        <w:rPr>
          <w:rFonts w:ascii="Times New Roman" w:hAnsi="Times New Roman" w:cs="Times New Roman"/>
          <w:sz w:val="24"/>
          <w:szCs w:val="24"/>
          <w:lang w:val="en-US"/>
        </w:rPr>
        <w:t xml:space="preserve">. </w:t>
      </w:r>
      <w:r w:rsidR="006845BD" w:rsidRPr="007917A1">
        <w:rPr>
          <w:rFonts w:ascii="Times New Roman" w:hAnsi="Times New Roman" w:cs="Times New Roman"/>
          <w:sz w:val="24"/>
          <w:szCs w:val="24"/>
          <w:lang w:val="en-US"/>
        </w:rPr>
        <w:t>–</w:t>
      </w:r>
      <w:r w:rsidR="007C3D2D" w:rsidRPr="007917A1">
        <w:rPr>
          <w:rFonts w:ascii="Times New Roman" w:hAnsi="Times New Roman" w:cs="Times New Roman"/>
          <w:sz w:val="24"/>
          <w:szCs w:val="24"/>
          <w:lang w:val="en-US"/>
        </w:rPr>
        <w:t xml:space="preserve"> Czech Journal of Economics and Finance, </w:t>
      </w:r>
      <w:r w:rsidR="003E66E9" w:rsidRPr="007917A1">
        <w:rPr>
          <w:rFonts w:ascii="Times New Roman" w:hAnsi="Times New Roman" w:cs="Times New Roman"/>
          <w:sz w:val="24"/>
          <w:szCs w:val="24"/>
          <w:lang w:val="en-US"/>
        </w:rPr>
        <w:t>Charles University Prague</w:t>
      </w:r>
      <w:r w:rsidR="007C3D2D" w:rsidRPr="007917A1">
        <w:rPr>
          <w:rFonts w:ascii="Times New Roman" w:hAnsi="Times New Roman" w:cs="Times New Roman"/>
          <w:sz w:val="24"/>
          <w:szCs w:val="24"/>
          <w:lang w:val="en-US"/>
        </w:rPr>
        <w:t xml:space="preserve">, 2013, no. </w:t>
      </w:r>
      <w:r w:rsidR="003E66E9" w:rsidRPr="007917A1">
        <w:rPr>
          <w:rFonts w:ascii="Times New Roman" w:hAnsi="Times New Roman" w:cs="Times New Roman"/>
          <w:sz w:val="24"/>
          <w:szCs w:val="24"/>
          <w:lang w:val="en-US"/>
        </w:rPr>
        <w:t>63(</w:t>
      </w:r>
      <w:r w:rsidR="007C3D2D" w:rsidRPr="007917A1">
        <w:rPr>
          <w:rFonts w:ascii="Times New Roman" w:hAnsi="Times New Roman" w:cs="Times New Roman"/>
          <w:sz w:val="24"/>
          <w:szCs w:val="24"/>
          <w:lang w:val="en-US"/>
        </w:rPr>
        <w:t>3</w:t>
      </w:r>
      <w:bookmarkEnd w:id="7"/>
      <w:r w:rsidR="003E66E9" w:rsidRPr="007917A1">
        <w:rPr>
          <w:rFonts w:ascii="Times New Roman" w:hAnsi="Times New Roman" w:cs="Times New Roman"/>
          <w:sz w:val="24"/>
          <w:szCs w:val="24"/>
          <w:lang w:val="en-US"/>
        </w:rPr>
        <w:t>)</w:t>
      </w:r>
      <w:r w:rsidR="000D58A4" w:rsidRPr="007917A1">
        <w:rPr>
          <w:rFonts w:ascii="Times New Roman" w:hAnsi="Times New Roman" w:cs="Times New Roman"/>
          <w:sz w:val="24"/>
          <w:szCs w:val="24"/>
          <w:lang w:val="en-US"/>
        </w:rPr>
        <w:t>.</w:t>
      </w:r>
      <w:r w:rsidR="003E66E9" w:rsidRPr="007917A1">
        <w:rPr>
          <w:rFonts w:ascii="Times New Roman" w:hAnsi="Times New Roman" w:cs="Times New Roman"/>
          <w:sz w:val="24"/>
          <w:szCs w:val="24"/>
          <w:lang w:val="en-US"/>
        </w:rPr>
        <w:t xml:space="preserve"> </w:t>
      </w:r>
      <w:r w:rsidR="00E45540" w:rsidRPr="007917A1">
        <w:rPr>
          <w:rFonts w:ascii="Times New Roman" w:hAnsi="Times New Roman" w:cs="Times New Roman"/>
          <w:sz w:val="24"/>
          <w:szCs w:val="24"/>
          <w:lang w:val="en-US"/>
        </w:rPr>
        <w:t>pp</w:t>
      </w:r>
      <w:r w:rsidR="003E66E9" w:rsidRPr="007917A1">
        <w:rPr>
          <w:rFonts w:ascii="Times New Roman" w:hAnsi="Times New Roman" w:cs="Times New Roman"/>
          <w:sz w:val="24"/>
          <w:szCs w:val="24"/>
          <w:lang w:val="en-US"/>
        </w:rPr>
        <w:t>. 226-243.</w:t>
      </w:r>
      <w:r w:rsidRPr="007917A1">
        <w:rPr>
          <w:rFonts w:ascii="Times New Roman" w:hAnsi="Times New Roman" w:cs="Times New Roman"/>
          <w:sz w:val="24"/>
          <w:szCs w:val="24"/>
          <w:lang w:val="en-US"/>
        </w:rPr>
        <w:t xml:space="preserve"> </w:t>
      </w:r>
    </w:p>
    <w:p w:rsidR="000D58A4" w:rsidRPr="007917A1" w:rsidRDefault="000D58A4" w:rsidP="00D13E2E">
      <w:pPr>
        <w:pStyle w:val="a5"/>
        <w:numPr>
          <w:ilvl w:val="0"/>
          <w:numId w:val="36"/>
        </w:numPr>
        <w:spacing w:line="360" w:lineRule="auto"/>
        <w:ind w:left="426" w:hanging="426"/>
        <w:jc w:val="both"/>
        <w:rPr>
          <w:rFonts w:ascii="Times New Roman" w:hAnsi="Times New Roman" w:cs="Times New Roman"/>
          <w:sz w:val="24"/>
          <w:szCs w:val="24"/>
          <w:lang w:val="en-US"/>
        </w:rPr>
      </w:pPr>
      <w:bookmarkStart w:id="8" w:name="_Ref529202634"/>
      <w:proofErr w:type="spellStart"/>
      <w:r w:rsidRPr="007917A1">
        <w:rPr>
          <w:rFonts w:ascii="Times New Roman" w:hAnsi="Times New Roman" w:cs="Times New Roman"/>
          <w:i/>
          <w:sz w:val="24"/>
          <w:szCs w:val="24"/>
          <w:lang w:val="en-US"/>
        </w:rPr>
        <w:t>Hoesli</w:t>
      </w:r>
      <w:proofErr w:type="spellEnd"/>
      <w:r w:rsidR="00036A63" w:rsidRPr="007917A1">
        <w:rPr>
          <w:rFonts w:ascii="Times New Roman" w:hAnsi="Times New Roman" w:cs="Times New Roman"/>
          <w:i/>
          <w:sz w:val="24"/>
          <w:szCs w:val="24"/>
          <w:lang w:val="en-US"/>
        </w:rPr>
        <w:t xml:space="preserve"> M.</w:t>
      </w:r>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Milcheva</w:t>
      </w:r>
      <w:proofErr w:type="spellEnd"/>
      <w:r w:rsidR="00036A63" w:rsidRPr="007917A1">
        <w:rPr>
          <w:rFonts w:ascii="Times New Roman" w:hAnsi="Times New Roman" w:cs="Times New Roman"/>
          <w:i/>
          <w:sz w:val="24"/>
          <w:szCs w:val="24"/>
          <w:lang w:val="en-US"/>
        </w:rPr>
        <w:t xml:space="preserve"> S</w:t>
      </w:r>
      <w:r w:rsidRPr="007917A1">
        <w:rPr>
          <w:rFonts w:ascii="Times New Roman" w:hAnsi="Times New Roman" w:cs="Times New Roman"/>
          <w:i/>
          <w:sz w:val="24"/>
          <w:szCs w:val="24"/>
          <w:lang w:val="en-US"/>
        </w:rPr>
        <w:t>.</w:t>
      </w:r>
      <w:r w:rsidR="00E96065" w:rsidRPr="007917A1">
        <w:rPr>
          <w:rFonts w:ascii="Times New Roman" w:hAnsi="Times New Roman" w:cs="Times New Roman"/>
          <w:i/>
          <w:sz w:val="24"/>
          <w:szCs w:val="24"/>
          <w:lang w:val="en-US"/>
        </w:rPr>
        <w:t>, Moss A.</w:t>
      </w:r>
      <w:r w:rsidRPr="007917A1">
        <w:rPr>
          <w:rFonts w:ascii="Times New Roman" w:hAnsi="Times New Roman" w:cs="Times New Roman"/>
          <w:sz w:val="24"/>
          <w:szCs w:val="24"/>
          <w:lang w:val="en-US"/>
        </w:rPr>
        <w:t xml:space="preserve"> Is Financial Regulation Good or Bad for Real Estate Companies? – An Event Study.</w:t>
      </w:r>
      <w:bookmarkEnd w:id="8"/>
      <w:r w:rsidRPr="007917A1">
        <w:rPr>
          <w:rFonts w:ascii="Times New Roman" w:hAnsi="Times New Roman" w:cs="Times New Roman"/>
          <w:sz w:val="24"/>
          <w:szCs w:val="24"/>
          <w:lang w:val="en-US"/>
        </w:rPr>
        <w:t xml:space="preserve"> Swiss Finance Institute Research Paper</w:t>
      </w:r>
      <w:r w:rsidR="006D5D99" w:rsidRPr="007917A1">
        <w:rPr>
          <w:rFonts w:ascii="Times New Roman" w:hAnsi="Times New Roman" w:cs="Times New Roman"/>
          <w:sz w:val="24"/>
          <w:szCs w:val="24"/>
          <w:lang w:val="en-US"/>
        </w:rPr>
        <w:t>,</w:t>
      </w:r>
      <w:r w:rsidRPr="007917A1">
        <w:rPr>
          <w:rFonts w:ascii="Times New Roman" w:hAnsi="Times New Roman" w:cs="Times New Roman"/>
          <w:sz w:val="24"/>
          <w:szCs w:val="24"/>
          <w:lang w:val="en-US"/>
        </w:rPr>
        <w:t xml:space="preserve"> </w:t>
      </w:r>
      <w:r w:rsidR="006D5D99" w:rsidRPr="007917A1">
        <w:rPr>
          <w:rFonts w:ascii="Times New Roman" w:hAnsi="Times New Roman" w:cs="Times New Roman"/>
          <w:sz w:val="24"/>
          <w:szCs w:val="24"/>
          <w:lang w:val="en-US"/>
        </w:rPr>
        <w:t>n</w:t>
      </w:r>
      <w:r w:rsidRPr="007917A1">
        <w:rPr>
          <w:rFonts w:ascii="Times New Roman" w:hAnsi="Times New Roman" w:cs="Times New Roman"/>
          <w:sz w:val="24"/>
          <w:szCs w:val="24"/>
          <w:lang w:val="en-US"/>
        </w:rPr>
        <w:t>o. 16-20</w:t>
      </w:r>
      <w:r w:rsidR="00D66F8A" w:rsidRPr="007917A1">
        <w:rPr>
          <w:rFonts w:ascii="Times New Roman" w:hAnsi="Times New Roman" w:cs="Times New Roman"/>
          <w:sz w:val="24"/>
          <w:szCs w:val="24"/>
          <w:lang w:val="en-US"/>
        </w:rPr>
        <w:t xml:space="preserve">. </w:t>
      </w:r>
      <w:proofErr w:type="spellStart"/>
      <w:r w:rsidR="00036A63" w:rsidRPr="007917A1">
        <w:rPr>
          <w:rFonts w:ascii="Times New Roman" w:hAnsi="Times New Roman" w:cs="Times New Roman"/>
          <w:sz w:val="24"/>
          <w:szCs w:val="24"/>
          <w:lang w:val="en-US"/>
        </w:rPr>
        <w:t>doi</w:t>
      </w:r>
      <w:proofErr w:type="spellEnd"/>
      <w:r w:rsidR="00036A63" w:rsidRPr="007917A1">
        <w:rPr>
          <w:rFonts w:ascii="Times New Roman" w:hAnsi="Times New Roman" w:cs="Times New Roman"/>
          <w:sz w:val="24"/>
          <w:szCs w:val="24"/>
          <w:lang w:val="en-US"/>
        </w:rPr>
        <w:t>: 10.1007/s11146-017-9634-z</w:t>
      </w:r>
    </w:p>
    <w:p w:rsidR="004C4890" w:rsidRPr="007917A1" w:rsidRDefault="004C4890" w:rsidP="003A5732">
      <w:pPr>
        <w:pStyle w:val="a5"/>
        <w:numPr>
          <w:ilvl w:val="0"/>
          <w:numId w:val="36"/>
        </w:numPr>
        <w:spacing w:line="360" w:lineRule="auto"/>
        <w:ind w:left="426" w:hanging="426"/>
        <w:jc w:val="both"/>
        <w:rPr>
          <w:rFonts w:ascii="Times New Roman" w:hAnsi="Times New Roman" w:cs="Times New Roman"/>
          <w:sz w:val="24"/>
          <w:szCs w:val="24"/>
          <w:lang w:val="en-US"/>
        </w:rPr>
      </w:pPr>
      <w:bookmarkStart w:id="9" w:name="_Ref529205185"/>
      <w:r w:rsidRPr="007917A1">
        <w:rPr>
          <w:rFonts w:ascii="Times New Roman" w:hAnsi="Times New Roman" w:cs="Times New Roman"/>
          <w:i/>
          <w:sz w:val="24"/>
          <w:szCs w:val="24"/>
          <w:lang w:val="en-US"/>
        </w:rPr>
        <w:t xml:space="preserve">Ferrari S., </w:t>
      </w:r>
      <w:proofErr w:type="spellStart"/>
      <w:r w:rsidRPr="007917A1">
        <w:rPr>
          <w:rFonts w:ascii="Times New Roman" w:hAnsi="Times New Roman" w:cs="Times New Roman"/>
          <w:i/>
          <w:sz w:val="24"/>
          <w:szCs w:val="24"/>
          <w:lang w:val="en-US"/>
        </w:rPr>
        <w:t>Pirovano</w:t>
      </w:r>
      <w:proofErr w:type="spellEnd"/>
      <w:r w:rsidRPr="007917A1">
        <w:rPr>
          <w:rFonts w:ascii="Times New Roman" w:hAnsi="Times New Roman" w:cs="Times New Roman"/>
          <w:i/>
          <w:sz w:val="24"/>
          <w:szCs w:val="24"/>
          <w:lang w:val="en-US"/>
        </w:rPr>
        <w:t xml:space="preserve"> M., </w:t>
      </w:r>
      <w:proofErr w:type="spellStart"/>
      <w:r w:rsidRPr="007917A1">
        <w:rPr>
          <w:rFonts w:ascii="Times New Roman" w:hAnsi="Times New Roman" w:cs="Times New Roman"/>
          <w:i/>
          <w:sz w:val="24"/>
          <w:szCs w:val="24"/>
          <w:lang w:val="en-US"/>
        </w:rPr>
        <w:t>Kaltwasser</w:t>
      </w:r>
      <w:proofErr w:type="spellEnd"/>
      <w:r w:rsidRPr="007917A1">
        <w:rPr>
          <w:rFonts w:ascii="Times New Roman" w:hAnsi="Times New Roman" w:cs="Times New Roman"/>
          <w:i/>
          <w:sz w:val="24"/>
          <w:szCs w:val="24"/>
          <w:lang w:val="en-US"/>
        </w:rPr>
        <w:t xml:space="preserve"> P.R.</w:t>
      </w:r>
      <w:r w:rsidRPr="007917A1">
        <w:rPr>
          <w:rFonts w:ascii="Times New Roman" w:hAnsi="Times New Roman" w:cs="Times New Roman"/>
          <w:sz w:val="24"/>
          <w:szCs w:val="24"/>
          <w:lang w:val="en-US"/>
        </w:rPr>
        <w:t xml:space="preserve"> Systemic risk, macroprudential policy, bank capital requirements, real estate</w:t>
      </w:r>
      <w:bookmarkEnd w:id="9"/>
      <w:r w:rsidRPr="007917A1">
        <w:rPr>
          <w:rFonts w:ascii="Times New Roman" w:hAnsi="Times New Roman" w:cs="Times New Roman"/>
          <w:sz w:val="24"/>
          <w:szCs w:val="24"/>
          <w:lang w:val="en-US"/>
        </w:rPr>
        <w:t>. Working Paper Research 306, National Bank of Belgium.</w:t>
      </w:r>
    </w:p>
    <w:p w:rsidR="00C554D4" w:rsidRPr="007917A1" w:rsidRDefault="00876CA6" w:rsidP="004B41CB">
      <w:pPr>
        <w:pStyle w:val="a5"/>
        <w:numPr>
          <w:ilvl w:val="0"/>
          <w:numId w:val="36"/>
        </w:numPr>
        <w:spacing w:line="360" w:lineRule="auto"/>
        <w:ind w:left="426" w:hanging="426"/>
        <w:jc w:val="both"/>
        <w:rPr>
          <w:rFonts w:ascii="Times New Roman" w:hAnsi="Times New Roman" w:cs="Times New Roman"/>
          <w:sz w:val="24"/>
          <w:szCs w:val="24"/>
          <w:lang w:val="en-US"/>
        </w:rPr>
      </w:pPr>
      <w:bookmarkStart w:id="10" w:name="_Ref528568092"/>
      <w:bookmarkStart w:id="11" w:name="_Ref529188800"/>
      <w:bookmarkEnd w:id="6"/>
      <w:r w:rsidRPr="007917A1">
        <w:rPr>
          <w:rFonts w:ascii="Times New Roman" w:hAnsi="Times New Roman" w:cs="Times New Roman"/>
          <w:i/>
          <w:sz w:val="24"/>
          <w:szCs w:val="24"/>
        </w:rPr>
        <w:t>Федотова М.А., Стерник С.Г., Латкин Ф.А</w:t>
      </w:r>
      <w:r w:rsidRPr="007917A1">
        <w:rPr>
          <w:rFonts w:ascii="Times New Roman" w:hAnsi="Times New Roman" w:cs="Times New Roman"/>
          <w:sz w:val="24"/>
          <w:szCs w:val="24"/>
        </w:rPr>
        <w:t xml:space="preserve">. </w:t>
      </w:r>
      <w:r w:rsidR="00C160D2" w:rsidRPr="007917A1">
        <w:rPr>
          <w:rFonts w:ascii="Times New Roman" w:hAnsi="Times New Roman" w:cs="Times New Roman"/>
          <w:sz w:val="24"/>
          <w:szCs w:val="24"/>
        </w:rPr>
        <w:t xml:space="preserve">Актуальные проблемы оценки портфеля корпоративной недвижимости. </w:t>
      </w:r>
      <w:r w:rsidR="008510AF" w:rsidRPr="007917A1">
        <w:rPr>
          <w:rFonts w:ascii="Times New Roman" w:hAnsi="Times New Roman" w:cs="Times New Roman"/>
          <w:sz w:val="24"/>
          <w:szCs w:val="24"/>
        </w:rPr>
        <w:t xml:space="preserve">// </w:t>
      </w:r>
      <w:r w:rsidR="00C160D2" w:rsidRPr="007917A1">
        <w:rPr>
          <w:rFonts w:ascii="Times New Roman" w:hAnsi="Times New Roman" w:cs="Times New Roman"/>
          <w:sz w:val="24"/>
          <w:szCs w:val="24"/>
        </w:rPr>
        <w:t xml:space="preserve">Имущественные отношения в РФ </w:t>
      </w:r>
      <w:r w:rsidR="00C160D2" w:rsidRPr="007917A1">
        <w:rPr>
          <w:rFonts w:ascii="Times New Roman" w:hAnsi="Times New Roman" w:cs="Times New Roman"/>
          <w:sz w:val="24"/>
          <w:szCs w:val="24"/>
          <w:lang w:val="en-US"/>
        </w:rPr>
        <w:t>N</w:t>
      </w:r>
      <w:r w:rsidR="00C160D2" w:rsidRPr="007917A1">
        <w:rPr>
          <w:rFonts w:ascii="Times New Roman" w:hAnsi="Times New Roman" w:cs="Times New Roman"/>
          <w:sz w:val="24"/>
          <w:szCs w:val="24"/>
        </w:rPr>
        <w:t>1</w:t>
      </w:r>
      <w:r w:rsidR="00924A43" w:rsidRPr="007917A1">
        <w:rPr>
          <w:rFonts w:ascii="Times New Roman" w:hAnsi="Times New Roman" w:cs="Times New Roman"/>
          <w:sz w:val="24"/>
          <w:szCs w:val="24"/>
        </w:rPr>
        <w:t xml:space="preserve"> </w:t>
      </w:r>
      <w:r w:rsidR="00C160D2" w:rsidRPr="007917A1">
        <w:rPr>
          <w:rFonts w:ascii="Times New Roman" w:hAnsi="Times New Roman" w:cs="Times New Roman"/>
          <w:sz w:val="24"/>
          <w:szCs w:val="24"/>
        </w:rPr>
        <w:t>(184)</w:t>
      </w:r>
      <w:r w:rsidR="008510AF" w:rsidRPr="007917A1">
        <w:rPr>
          <w:rFonts w:ascii="Times New Roman" w:hAnsi="Times New Roman" w:cs="Times New Roman"/>
          <w:sz w:val="24"/>
          <w:szCs w:val="24"/>
        </w:rPr>
        <w:t xml:space="preserve">. </w:t>
      </w:r>
      <w:r w:rsidR="00C160D2" w:rsidRPr="007917A1">
        <w:rPr>
          <w:rFonts w:ascii="Times New Roman" w:hAnsi="Times New Roman" w:cs="Times New Roman"/>
          <w:sz w:val="24"/>
          <w:szCs w:val="24"/>
          <w:lang w:val="en-US"/>
        </w:rPr>
        <w:t>2017</w:t>
      </w:r>
      <w:r w:rsidR="008510AF" w:rsidRPr="007917A1">
        <w:rPr>
          <w:rFonts w:ascii="Times New Roman" w:hAnsi="Times New Roman" w:cs="Times New Roman"/>
          <w:sz w:val="24"/>
          <w:szCs w:val="24"/>
          <w:lang w:val="en-US"/>
        </w:rPr>
        <w:t>.</w:t>
      </w:r>
      <w:r w:rsidR="00924A43" w:rsidRPr="007917A1">
        <w:rPr>
          <w:rFonts w:ascii="Times New Roman" w:hAnsi="Times New Roman" w:cs="Times New Roman"/>
          <w:sz w:val="24"/>
          <w:szCs w:val="24"/>
          <w:lang w:val="en-US"/>
        </w:rPr>
        <w:t xml:space="preserve"> </w:t>
      </w:r>
      <w:r w:rsidR="00C160D2" w:rsidRPr="007917A1">
        <w:rPr>
          <w:rFonts w:ascii="Times New Roman" w:hAnsi="Times New Roman" w:cs="Times New Roman"/>
          <w:sz w:val="24"/>
          <w:szCs w:val="24"/>
          <w:lang w:val="en-US"/>
        </w:rPr>
        <w:t xml:space="preserve"> C.</w:t>
      </w:r>
      <w:r w:rsidR="008510AF" w:rsidRPr="007917A1">
        <w:rPr>
          <w:rFonts w:ascii="Times New Roman" w:hAnsi="Times New Roman" w:cs="Times New Roman"/>
          <w:sz w:val="24"/>
          <w:szCs w:val="24"/>
        </w:rPr>
        <w:t> </w:t>
      </w:r>
      <w:r w:rsidR="00C160D2" w:rsidRPr="007917A1">
        <w:rPr>
          <w:rFonts w:ascii="Times New Roman" w:hAnsi="Times New Roman" w:cs="Times New Roman"/>
          <w:sz w:val="24"/>
          <w:szCs w:val="24"/>
          <w:lang w:val="en-US"/>
        </w:rPr>
        <w:t>70-77</w:t>
      </w:r>
      <w:bookmarkEnd w:id="10"/>
      <w:bookmarkEnd w:id="11"/>
      <w:r w:rsidR="00924A43" w:rsidRPr="007917A1">
        <w:rPr>
          <w:rFonts w:ascii="Times New Roman" w:hAnsi="Times New Roman" w:cs="Times New Roman"/>
          <w:sz w:val="24"/>
          <w:szCs w:val="24"/>
          <w:lang w:val="en-US"/>
        </w:rPr>
        <w:t>.</w:t>
      </w:r>
    </w:p>
    <w:p w:rsidR="00C160D2" w:rsidRPr="007917A1" w:rsidRDefault="00925D93" w:rsidP="004B41CB">
      <w:pPr>
        <w:pStyle w:val="a5"/>
        <w:numPr>
          <w:ilvl w:val="0"/>
          <w:numId w:val="36"/>
        </w:numPr>
        <w:spacing w:line="360" w:lineRule="auto"/>
        <w:ind w:left="426" w:hanging="426"/>
        <w:jc w:val="both"/>
        <w:rPr>
          <w:rFonts w:ascii="Times New Roman" w:hAnsi="Times New Roman" w:cs="Times New Roman"/>
          <w:sz w:val="24"/>
          <w:szCs w:val="24"/>
          <w:lang w:val="en-US"/>
        </w:rPr>
      </w:pPr>
      <w:bookmarkStart w:id="12" w:name="_Ref528568134"/>
      <w:proofErr w:type="spellStart"/>
      <w:r w:rsidRPr="007917A1">
        <w:rPr>
          <w:rFonts w:ascii="Times New Roman" w:hAnsi="Times New Roman" w:cs="Times New Roman"/>
          <w:i/>
          <w:sz w:val="24"/>
          <w:szCs w:val="24"/>
          <w:lang w:val="en-US"/>
        </w:rPr>
        <w:t>Igan</w:t>
      </w:r>
      <w:proofErr w:type="spellEnd"/>
      <w:r w:rsidRPr="007917A1">
        <w:rPr>
          <w:rFonts w:ascii="Times New Roman" w:hAnsi="Times New Roman" w:cs="Times New Roman"/>
          <w:i/>
          <w:sz w:val="24"/>
          <w:szCs w:val="24"/>
          <w:lang w:val="en-US"/>
        </w:rPr>
        <w:t xml:space="preserve"> D.</w:t>
      </w:r>
      <w:r w:rsidRPr="007917A1">
        <w:rPr>
          <w:rFonts w:ascii="Times New Roman" w:hAnsi="Times New Roman" w:cs="Times New Roman"/>
          <w:sz w:val="24"/>
          <w:szCs w:val="24"/>
          <w:lang w:val="en-US"/>
        </w:rPr>
        <w:t xml:space="preserve"> Dealing with real estate booms and busts. </w:t>
      </w:r>
      <w:r w:rsidR="00C160D2" w:rsidRPr="007917A1">
        <w:rPr>
          <w:rFonts w:ascii="Times New Roman" w:hAnsi="Times New Roman" w:cs="Times New Roman"/>
          <w:sz w:val="24"/>
          <w:szCs w:val="24"/>
          <w:lang w:val="en-US"/>
        </w:rPr>
        <w:t>BIS Papers, No 64 Property markets and financial stability</w:t>
      </w:r>
      <w:r w:rsidRPr="007917A1">
        <w:rPr>
          <w:rFonts w:ascii="Times New Roman" w:hAnsi="Times New Roman" w:cs="Times New Roman"/>
          <w:sz w:val="24"/>
          <w:szCs w:val="24"/>
          <w:lang w:val="en-US"/>
        </w:rPr>
        <w:t>.</w:t>
      </w:r>
      <w:r w:rsidR="00E45540" w:rsidRPr="007917A1">
        <w:rPr>
          <w:rFonts w:ascii="Times New Roman" w:hAnsi="Times New Roman" w:cs="Times New Roman"/>
          <w:sz w:val="24"/>
          <w:szCs w:val="24"/>
          <w:lang w:val="en-US"/>
        </w:rPr>
        <w:t xml:space="preserve"> pp.</w:t>
      </w:r>
      <w:r w:rsidR="00C160D2" w:rsidRPr="007917A1">
        <w:rPr>
          <w:rFonts w:ascii="Times New Roman" w:hAnsi="Times New Roman" w:cs="Times New Roman"/>
          <w:sz w:val="24"/>
          <w:szCs w:val="24"/>
          <w:lang w:val="en-US"/>
        </w:rPr>
        <w:t xml:space="preserve"> </w:t>
      </w:r>
      <w:r w:rsidR="00E45540" w:rsidRPr="007917A1">
        <w:rPr>
          <w:rFonts w:ascii="Times New Roman" w:hAnsi="Times New Roman" w:cs="Times New Roman"/>
          <w:sz w:val="24"/>
          <w:szCs w:val="24"/>
          <w:lang w:val="en-US"/>
        </w:rPr>
        <w:t xml:space="preserve">59-67. Available at: </w:t>
      </w:r>
      <w:bookmarkEnd w:id="12"/>
      <w:r w:rsidR="00D406C5" w:rsidRPr="007917A1">
        <w:rPr>
          <w:rFonts w:ascii="Times New Roman" w:hAnsi="Times New Roman" w:cs="Times New Roman"/>
          <w:sz w:val="24"/>
          <w:szCs w:val="24"/>
        </w:rPr>
        <w:t>https://www.bis.org/publ/bppdf/bispap64.pdf</w:t>
      </w:r>
    </w:p>
    <w:p w:rsidR="00CC1C4E" w:rsidRPr="007917A1" w:rsidRDefault="00CC1C4E" w:rsidP="004B41CB">
      <w:pPr>
        <w:pStyle w:val="a5"/>
        <w:numPr>
          <w:ilvl w:val="0"/>
          <w:numId w:val="36"/>
        </w:numPr>
        <w:spacing w:line="360" w:lineRule="auto"/>
        <w:ind w:left="426" w:hanging="426"/>
        <w:jc w:val="both"/>
        <w:rPr>
          <w:rFonts w:ascii="Times New Roman" w:hAnsi="Times New Roman" w:cs="Times New Roman"/>
          <w:sz w:val="24"/>
          <w:szCs w:val="24"/>
          <w:lang w:val="en-US"/>
        </w:rPr>
      </w:pPr>
      <w:bookmarkStart w:id="13" w:name="_Ref529178224"/>
      <w:r w:rsidRPr="007917A1">
        <w:rPr>
          <w:rFonts w:ascii="Times New Roman" w:hAnsi="Times New Roman" w:cs="Times New Roman"/>
          <w:i/>
          <w:sz w:val="24"/>
          <w:szCs w:val="24"/>
          <w:lang w:val="en-US"/>
        </w:rPr>
        <w:t xml:space="preserve">Barrell, R., Davis, E.P., Karim, D. and </w:t>
      </w:r>
      <w:proofErr w:type="spellStart"/>
      <w:r w:rsidRPr="007917A1">
        <w:rPr>
          <w:rFonts w:ascii="Times New Roman" w:hAnsi="Times New Roman" w:cs="Times New Roman"/>
          <w:i/>
          <w:sz w:val="24"/>
          <w:szCs w:val="24"/>
          <w:lang w:val="en-US"/>
        </w:rPr>
        <w:t>Liadze</w:t>
      </w:r>
      <w:proofErr w:type="spellEnd"/>
      <w:r w:rsidR="00C24A72" w:rsidRPr="007917A1">
        <w:rPr>
          <w:rFonts w:ascii="Times New Roman" w:hAnsi="Times New Roman" w:cs="Times New Roman"/>
          <w:i/>
          <w:sz w:val="24"/>
          <w:szCs w:val="24"/>
          <w:lang w:val="en-US"/>
        </w:rPr>
        <w:t xml:space="preserve"> I</w:t>
      </w:r>
      <w:r w:rsidRPr="007917A1">
        <w:rPr>
          <w:rFonts w:ascii="Times New Roman" w:hAnsi="Times New Roman" w:cs="Times New Roman"/>
          <w:i/>
          <w:sz w:val="24"/>
          <w:szCs w:val="24"/>
          <w:lang w:val="en-US"/>
        </w:rPr>
        <w:t>.</w:t>
      </w:r>
      <w:r w:rsidRPr="007917A1">
        <w:rPr>
          <w:rFonts w:ascii="Times New Roman" w:hAnsi="Times New Roman" w:cs="Times New Roman"/>
          <w:sz w:val="24"/>
          <w:szCs w:val="24"/>
          <w:lang w:val="en-US"/>
        </w:rPr>
        <w:t xml:space="preserve"> Calibrating </w:t>
      </w:r>
      <w:proofErr w:type="spellStart"/>
      <w:r w:rsidRPr="007917A1">
        <w:rPr>
          <w:rFonts w:ascii="Times New Roman" w:hAnsi="Times New Roman" w:cs="Times New Roman"/>
          <w:sz w:val="24"/>
          <w:szCs w:val="24"/>
          <w:lang w:val="en-US"/>
        </w:rPr>
        <w:t>macropduential</w:t>
      </w:r>
      <w:proofErr w:type="spellEnd"/>
      <w:r w:rsidRPr="007917A1">
        <w:rPr>
          <w:rFonts w:ascii="Times New Roman" w:hAnsi="Times New Roman" w:cs="Times New Roman"/>
          <w:sz w:val="24"/>
          <w:szCs w:val="24"/>
          <w:lang w:val="en-US"/>
        </w:rPr>
        <w:t xml:space="preserve"> policy</w:t>
      </w:r>
      <w:bookmarkEnd w:id="13"/>
      <w:r w:rsidR="00E96065" w:rsidRPr="007917A1">
        <w:rPr>
          <w:rFonts w:ascii="Times New Roman" w:hAnsi="Times New Roman" w:cs="Times New Roman"/>
          <w:sz w:val="24"/>
          <w:szCs w:val="24"/>
          <w:lang w:val="en-US"/>
        </w:rPr>
        <w:t xml:space="preserve">. Working Paper 2017-17. Federal Reserve Bank of San Francisco Working Paper 2017-17. </w:t>
      </w:r>
      <w:hyperlink r:id="rId15" w:history="1">
        <w:proofErr w:type="spellStart"/>
        <w:r w:rsidR="00E96065" w:rsidRPr="007917A1">
          <w:rPr>
            <w:rFonts w:ascii="Times New Roman" w:hAnsi="Times New Roman" w:cs="Times New Roman"/>
            <w:sz w:val="24"/>
            <w:szCs w:val="24"/>
            <w:lang w:val="en-US"/>
          </w:rPr>
          <w:t>doi</w:t>
        </w:r>
        <w:proofErr w:type="spellEnd"/>
        <w:r w:rsidR="00E96065" w:rsidRPr="007917A1">
          <w:rPr>
            <w:rFonts w:ascii="Times New Roman" w:hAnsi="Times New Roman" w:cs="Times New Roman"/>
            <w:sz w:val="24"/>
            <w:szCs w:val="24"/>
            <w:lang w:val="en-US"/>
          </w:rPr>
          <w:t>: 10.24148/wp2017-17</w:t>
        </w:r>
      </w:hyperlink>
    </w:p>
    <w:p w:rsidR="00351B12" w:rsidRPr="007917A1" w:rsidRDefault="00C24A72" w:rsidP="00DC3454">
      <w:pPr>
        <w:pStyle w:val="a5"/>
        <w:numPr>
          <w:ilvl w:val="0"/>
          <w:numId w:val="36"/>
        </w:numPr>
        <w:spacing w:line="360" w:lineRule="auto"/>
        <w:ind w:left="426" w:hanging="426"/>
        <w:jc w:val="both"/>
        <w:rPr>
          <w:rFonts w:ascii="Times New Roman" w:hAnsi="Times New Roman" w:cs="Times New Roman"/>
          <w:sz w:val="24"/>
          <w:szCs w:val="24"/>
          <w:lang w:val="en-US"/>
        </w:rPr>
      </w:pPr>
      <w:bookmarkStart w:id="14" w:name="_Ref529178246"/>
      <w:r w:rsidRPr="007917A1">
        <w:rPr>
          <w:rFonts w:ascii="Times New Roman" w:hAnsi="Times New Roman" w:cs="Times New Roman"/>
          <w:i/>
          <w:sz w:val="24"/>
          <w:szCs w:val="24"/>
          <w:lang w:val="en-US"/>
        </w:rPr>
        <w:lastRenderedPageBreak/>
        <w:t>Barrell</w:t>
      </w:r>
      <w:r w:rsidR="00E45540" w:rsidRPr="007917A1">
        <w:rPr>
          <w:rFonts w:ascii="Times New Roman" w:hAnsi="Times New Roman" w:cs="Times New Roman"/>
          <w:i/>
          <w:sz w:val="24"/>
          <w:szCs w:val="24"/>
          <w:lang w:val="en-US"/>
        </w:rPr>
        <w:t xml:space="preserve"> R.</w:t>
      </w:r>
      <w:r w:rsidRPr="007917A1">
        <w:rPr>
          <w:rFonts w:ascii="Times New Roman" w:hAnsi="Times New Roman" w:cs="Times New Roman"/>
          <w:i/>
          <w:sz w:val="24"/>
          <w:szCs w:val="24"/>
          <w:lang w:val="en-US"/>
        </w:rPr>
        <w:t>, Davis</w:t>
      </w:r>
      <w:r w:rsidR="00E45540" w:rsidRPr="007917A1">
        <w:rPr>
          <w:rFonts w:ascii="Times New Roman" w:hAnsi="Times New Roman" w:cs="Times New Roman"/>
          <w:i/>
          <w:sz w:val="24"/>
          <w:szCs w:val="24"/>
          <w:lang w:val="en-US"/>
        </w:rPr>
        <w:t xml:space="preserve"> P.</w:t>
      </w:r>
      <w:r w:rsidRPr="007917A1">
        <w:rPr>
          <w:rFonts w:ascii="Times New Roman" w:hAnsi="Times New Roman" w:cs="Times New Roman"/>
          <w:i/>
          <w:sz w:val="24"/>
          <w:szCs w:val="24"/>
          <w:lang w:val="en-US"/>
        </w:rPr>
        <w:t xml:space="preserve">, Karim </w:t>
      </w:r>
      <w:r w:rsidR="00E45540" w:rsidRPr="007917A1">
        <w:rPr>
          <w:rFonts w:ascii="Times New Roman" w:hAnsi="Times New Roman" w:cs="Times New Roman"/>
          <w:i/>
          <w:sz w:val="24"/>
          <w:szCs w:val="24"/>
          <w:lang w:val="en-US"/>
        </w:rPr>
        <w:t xml:space="preserve">D., </w:t>
      </w:r>
      <w:proofErr w:type="spellStart"/>
      <w:r w:rsidRPr="007917A1">
        <w:rPr>
          <w:rFonts w:ascii="Times New Roman" w:hAnsi="Times New Roman" w:cs="Times New Roman"/>
          <w:i/>
          <w:sz w:val="24"/>
          <w:szCs w:val="24"/>
          <w:lang w:val="en-US"/>
        </w:rPr>
        <w:t>Liadze</w:t>
      </w:r>
      <w:proofErr w:type="spellEnd"/>
      <w:r w:rsidR="00E45540" w:rsidRPr="007917A1">
        <w:rPr>
          <w:rFonts w:ascii="Times New Roman" w:hAnsi="Times New Roman" w:cs="Times New Roman"/>
          <w:i/>
          <w:sz w:val="24"/>
          <w:szCs w:val="24"/>
          <w:lang w:val="en-US"/>
        </w:rPr>
        <w:t xml:space="preserve"> I</w:t>
      </w:r>
      <w:r w:rsidRPr="007917A1">
        <w:rPr>
          <w:rFonts w:ascii="Times New Roman" w:hAnsi="Times New Roman" w:cs="Times New Roman"/>
          <w:i/>
          <w:sz w:val="24"/>
          <w:szCs w:val="24"/>
          <w:lang w:val="en-US"/>
        </w:rPr>
        <w:t>.</w:t>
      </w:r>
      <w:r w:rsidRPr="007917A1">
        <w:rPr>
          <w:rFonts w:ascii="Times New Roman" w:hAnsi="Times New Roman" w:cs="Times New Roman"/>
          <w:sz w:val="24"/>
          <w:szCs w:val="24"/>
          <w:lang w:val="en-US"/>
        </w:rPr>
        <w:t xml:space="preserve"> Bank and regulation, property prices and early warning systems for banking crises in OECD. </w:t>
      </w:r>
      <w:r w:rsidR="00E45540" w:rsidRPr="007917A1">
        <w:rPr>
          <w:rFonts w:ascii="Times New Roman" w:hAnsi="Times New Roman" w:cs="Times New Roman"/>
          <w:sz w:val="24"/>
          <w:szCs w:val="24"/>
          <w:lang w:val="en-US"/>
        </w:rPr>
        <w:t xml:space="preserve">Available at: </w:t>
      </w:r>
      <w:r w:rsidR="00D406C5" w:rsidRPr="007917A1">
        <w:rPr>
          <w:rFonts w:ascii="Times New Roman" w:hAnsi="Times New Roman" w:cs="Times New Roman"/>
          <w:sz w:val="24"/>
          <w:szCs w:val="24"/>
          <w:lang w:val="en-US"/>
        </w:rPr>
        <w:t>http://www.niesr.ac.uk/sites/default/files/publications/310309_111955.pdf</w:t>
      </w:r>
      <w:r w:rsidRPr="007917A1">
        <w:rPr>
          <w:rFonts w:ascii="Times New Roman" w:hAnsi="Times New Roman" w:cs="Times New Roman"/>
          <w:sz w:val="24"/>
          <w:szCs w:val="24"/>
          <w:lang w:val="en-US"/>
        </w:rPr>
        <w:t xml:space="preserve"> </w:t>
      </w:r>
    </w:p>
    <w:p w:rsidR="00496091" w:rsidRPr="007917A1" w:rsidRDefault="00496091" w:rsidP="00496091">
      <w:pPr>
        <w:pStyle w:val="a5"/>
        <w:numPr>
          <w:ilvl w:val="0"/>
          <w:numId w:val="36"/>
        </w:numPr>
        <w:spacing w:line="360" w:lineRule="auto"/>
        <w:ind w:left="426" w:hanging="426"/>
        <w:jc w:val="both"/>
        <w:rPr>
          <w:rFonts w:ascii="Times New Roman" w:hAnsi="Times New Roman" w:cs="Times New Roman"/>
          <w:sz w:val="24"/>
          <w:szCs w:val="24"/>
          <w:lang w:val="en-US"/>
        </w:rPr>
      </w:pPr>
      <w:bookmarkStart w:id="15" w:name="_Ref529180267"/>
      <w:r w:rsidRPr="007917A1">
        <w:rPr>
          <w:rFonts w:ascii="Times New Roman" w:hAnsi="Times New Roman" w:cs="Times New Roman"/>
          <w:i/>
          <w:sz w:val="24"/>
          <w:szCs w:val="24"/>
          <w:lang w:val="en-US"/>
        </w:rPr>
        <w:t>Carmen M. Reinhart &amp; Kenneth S. Rogoff</w:t>
      </w:r>
      <w:r w:rsidRPr="007917A1">
        <w:rPr>
          <w:rFonts w:ascii="Times New Roman" w:hAnsi="Times New Roman" w:cs="Times New Roman"/>
          <w:sz w:val="24"/>
          <w:szCs w:val="24"/>
          <w:lang w:val="en-US"/>
        </w:rPr>
        <w:t>. This Time Is Different – Eight Centuries of Financial Folly. Princeton University Press</w:t>
      </w:r>
      <w:r w:rsidRPr="007917A1">
        <w:rPr>
          <w:rFonts w:ascii="Times New Roman" w:hAnsi="Times New Roman" w:cs="Times New Roman"/>
          <w:sz w:val="24"/>
          <w:szCs w:val="24"/>
        </w:rPr>
        <w:t>.</w:t>
      </w:r>
      <w:r w:rsidRPr="007917A1">
        <w:rPr>
          <w:rFonts w:ascii="Times New Roman" w:hAnsi="Times New Roman" w:cs="Times New Roman"/>
          <w:sz w:val="24"/>
          <w:szCs w:val="24"/>
          <w:lang w:val="en-US"/>
        </w:rPr>
        <w:t xml:space="preserve"> 2009</w:t>
      </w:r>
      <w:r w:rsidRPr="007917A1">
        <w:rPr>
          <w:rFonts w:ascii="Times New Roman" w:hAnsi="Times New Roman" w:cs="Times New Roman"/>
          <w:sz w:val="24"/>
          <w:szCs w:val="24"/>
        </w:rPr>
        <w:t>.</w:t>
      </w:r>
      <w:r w:rsidRPr="007917A1">
        <w:rPr>
          <w:rFonts w:ascii="Times New Roman" w:hAnsi="Times New Roman" w:cs="Times New Roman"/>
          <w:sz w:val="24"/>
          <w:szCs w:val="24"/>
          <w:lang w:val="en-US"/>
        </w:rPr>
        <w:t xml:space="preserve"> 496 </w:t>
      </w:r>
      <w:r w:rsidR="00925D93" w:rsidRPr="007917A1">
        <w:rPr>
          <w:rFonts w:ascii="Times New Roman" w:hAnsi="Times New Roman" w:cs="Times New Roman"/>
          <w:sz w:val="24"/>
          <w:szCs w:val="24"/>
          <w:lang w:val="en-US"/>
        </w:rPr>
        <w:t>P</w:t>
      </w:r>
      <w:r w:rsidRPr="007917A1">
        <w:rPr>
          <w:rFonts w:ascii="Times New Roman" w:hAnsi="Times New Roman" w:cs="Times New Roman"/>
          <w:sz w:val="24"/>
          <w:szCs w:val="24"/>
        </w:rPr>
        <w:t>.</w:t>
      </w:r>
      <w:bookmarkEnd w:id="15"/>
    </w:p>
    <w:p w:rsidR="00C12AFB" w:rsidRPr="007917A1" w:rsidRDefault="00C12AFB" w:rsidP="00C12AFB">
      <w:pPr>
        <w:pStyle w:val="a5"/>
        <w:numPr>
          <w:ilvl w:val="0"/>
          <w:numId w:val="36"/>
        </w:numPr>
        <w:spacing w:line="360" w:lineRule="auto"/>
        <w:ind w:left="426" w:hanging="426"/>
        <w:jc w:val="both"/>
        <w:rPr>
          <w:rFonts w:ascii="Times New Roman" w:hAnsi="Times New Roman" w:cs="Times New Roman"/>
          <w:sz w:val="24"/>
          <w:szCs w:val="24"/>
          <w:lang w:val="en-US"/>
        </w:rPr>
      </w:pPr>
      <w:bookmarkStart w:id="16" w:name="_Ref529189257"/>
      <w:proofErr w:type="spellStart"/>
      <w:r w:rsidRPr="007917A1">
        <w:rPr>
          <w:rFonts w:ascii="Times New Roman" w:hAnsi="Times New Roman" w:cs="Times New Roman"/>
          <w:i/>
          <w:sz w:val="24"/>
          <w:szCs w:val="24"/>
          <w:lang w:val="en-US"/>
        </w:rPr>
        <w:t>Mian</w:t>
      </w:r>
      <w:proofErr w:type="spellEnd"/>
      <w:r w:rsidR="00925D93" w:rsidRPr="007917A1">
        <w:rPr>
          <w:rFonts w:ascii="Times New Roman" w:hAnsi="Times New Roman" w:cs="Times New Roman"/>
          <w:i/>
          <w:sz w:val="24"/>
          <w:szCs w:val="24"/>
          <w:lang w:val="en-US"/>
        </w:rPr>
        <w:t xml:space="preserve"> a.</w:t>
      </w:r>
      <w:r w:rsidRPr="007917A1">
        <w:rPr>
          <w:rFonts w:ascii="Times New Roman" w:hAnsi="Times New Roman" w:cs="Times New Roman"/>
          <w:i/>
          <w:sz w:val="24"/>
          <w:szCs w:val="24"/>
          <w:lang w:val="en-US"/>
        </w:rPr>
        <w:t>, Sufi</w:t>
      </w:r>
      <w:r w:rsidR="00925D93" w:rsidRPr="007917A1">
        <w:rPr>
          <w:rFonts w:ascii="Times New Roman" w:hAnsi="Times New Roman" w:cs="Times New Roman"/>
          <w:i/>
          <w:sz w:val="24"/>
          <w:szCs w:val="24"/>
          <w:lang w:val="en-US"/>
        </w:rPr>
        <w:t xml:space="preserve"> A</w:t>
      </w:r>
      <w:r w:rsidRPr="007917A1">
        <w:rPr>
          <w:rFonts w:ascii="Times New Roman" w:hAnsi="Times New Roman" w:cs="Times New Roman"/>
          <w:sz w:val="24"/>
          <w:szCs w:val="24"/>
          <w:lang w:val="en-US"/>
        </w:rPr>
        <w:t xml:space="preserve">. Household Leverage and the Recession of 2007 to 2009. Paper presented at the 10th Jacques </w:t>
      </w:r>
      <w:proofErr w:type="spellStart"/>
      <w:r w:rsidRPr="007917A1">
        <w:rPr>
          <w:rFonts w:ascii="Times New Roman" w:hAnsi="Times New Roman" w:cs="Times New Roman"/>
          <w:sz w:val="24"/>
          <w:szCs w:val="24"/>
          <w:lang w:val="en-US"/>
        </w:rPr>
        <w:t>Polak</w:t>
      </w:r>
      <w:proofErr w:type="spellEnd"/>
      <w:r w:rsidRPr="007917A1">
        <w:rPr>
          <w:rFonts w:ascii="Times New Roman" w:hAnsi="Times New Roman" w:cs="Times New Roman"/>
          <w:sz w:val="24"/>
          <w:szCs w:val="24"/>
          <w:lang w:val="en-US"/>
        </w:rPr>
        <w:t xml:space="preserve"> Annual Research Conference Hosted by the International Monetary Fund Washington, </w:t>
      </w:r>
      <w:proofErr w:type="spellStart"/>
      <w:r w:rsidRPr="007917A1">
        <w:rPr>
          <w:rFonts w:ascii="Times New Roman" w:hAnsi="Times New Roman" w:cs="Times New Roman"/>
          <w:sz w:val="24"/>
          <w:szCs w:val="24"/>
          <w:lang w:val="en-US"/>
        </w:rPr>
        <w:t>DC─November</w:t>
      </w:r>
      <w:proofErr w:type="spellEnd"/>
      <w:r w:rsidRPr="007917A1">
        <w:rPr>
          <w:rFonts w:ascii="Times New Roman" w:hAnsi="Times New Roman" w:cs="Times New Roman"/>
          <w:sz w:val="24"/>
          <w:szCs w:val="24"/>
          <w:lang w:val="en-US"/>
        </w:rPr>
        <w:t xml:space="preserve"> 5–6, 2009.</w:t>
      </w:r>
      <w:bookmarkEnd w:id="16"/>
    </w:p>
    <w:p w:rsidR="004E5A0F" w:rsidRPr="007917A1" w:rsidRDefault="004E5A0F" w:rsidP="00C12AFB">
      <w:pPr>
        <w:pStyle w:val="a5"/>
        <w:numPr>
          <w:ilvl w:val="0"/>
          <w:numId w:val="36"/>
        </w:numPr>
        <w:spacing w:line="360" w:lineRule="auto"/>
        <w:ind w:left="426" w:hanging="426"/>
        <w:jc w:val="both"/>
        <w:rPr>
          <w:rFonts w:ascii="Times New Roman" w:hAnsi="Times New Roman" w:cs="Times New Roman"/>
          <w:sz w:val="24"/>
          <w:szCs w:val="24"/>
          <w:lang w:val="en-US"/>
        </w:rPr>
      </w:pPr>
      <w:bookmarkStart w:id="17" w:name="_Ref529198049"/>
      <w:r w:rsidRPr="007917A1">
        <w:rPr>
          <w:rFonts w:ascii="Times New Roman" w:hAnsi="Times New Roman" w:cs="Times New Roman"/>
          <w:i/>
          <w:sz w:val="24"/>
          <w:szCs w:val="24"/>
          <w:lang w:val="en-US"/>
        </w:rPr>
        <w:t>Zhu.</w:t>
      </w:r>
      <w:r w:rsidR="00925D93" w:rsidRPr="007917A1">
        <w:rPr>
          <w:rFonts w:ascii="Times New Roman" w:hAnsi="Times New Roman" w:cs="Times New Roman"/>
          <w:i/>
          <w:sz w:val="24"/>
          <w:szCs w:val="24"/>
          <w:lang w:val="en-US"/>
        </w:rPr>
        <w:t xml:space="preserve"> H.</w:t>
      </w:r>
      <w:r w:rsidRPr="007917A1">
        <w:rPr>
          <w:rFonts w:ascii="Times New Roman" w:hAnsi="Times New Roman" w:cs="Times New Roman"/>
          <w:sz w:val="24"/>
          <w:szCs w:val="24"/>
          <w:lang w:val="en-US"/>
        </w:rPr>
        <w:t xml:space="preserve"> The importance of property markets for monetary policy and financial stability. BIS Papers No. 21.</w:t>
      </w:r>
      <w:r w:rsidR="00E45540" w:rsidRPr="007917A1">
        <w:rPr>
          <w:rFonts w:ascii="Times New Roman" w:hAnsi="Times New Roman" w:cs="Times New Roman"/>
          <w:sz w:val="24"/>
          <w:szCs w:val="24"/>
          <w:lang w:val="en-US"/>
        </w:rPr>
        <w:t xml:space="preserve"> pp. 9-19. Available at:</w:t>
      </w:r>
      <w:r w:rsidRPr="007917A1">
        <w:rPr>
          <w:rFonts w:ascii="Times New Roman" w:hAnsi="Times New Roman" w:cs="Times New Roman"/>
          <w:sz w:val="24"/>
          <w:szCs w:val="24"/>
          <w:lang w:val="en-US"/>
        </w:rPr>
        <w:t xml:space="preserve"> </w:t>
      </w:r>
      <w:bookmarkEnd w:id="17"/>
      <w:r w:rsidR="00D406C5" w:rsidRPr="007917A1">
        <w:rPr>
          <w:rFonts w:ascii="Times New Roman" w:hAnsi="Times New Roman" w:cs="Times New Roman"/>
          <w:sz w:val="24"/>
          <w:szCs w:val="24"/>
          <w:lang w:val="en-US"/>
        </w:rPr>
        <w:t>https://www.bis.org/publ/bppdf/bispap21.pdf</w:t>
      </w:r>
    </w:p>
    <w:p w:rsidR="00A209A9" w:rsidRPr="007917A1" w:rsidRDefault="00A209A9">
      <w:pPr>
        <w:pStyle w:val="a5"/>
        <w:numPr>
          <w:ilvl w:val="0"/>
          <w:numId w:val="36"/>
        </w:numPr>
        <w:spacing w:line="360" w:lineRule="auto"/>
        <w:ind w:left="426" w:hanging="426"/>
        <w:jc w:val="both"/>
        <w:rPr>
          <w:rFonts w:ascii="Times New Roman" w:hAnsi="Times New Roman" w:cs="Times New Roman"/>
          <w:i/>
          <w:sz w:val="24"/>
          <w:szCs w:val="24"/>
        </w:rPr>
      </w:pPr>
      <w:bookmarkStart w:id="18" w:name="_Ref528770995"/>
      <w:bookmarkEnd w:id="14"/>
      <w:r w:rsidRPr="007917A1">
        <w:rPr>
          <w:rFonts w:ascii="Times New Roman" w:hAnsi="Times New Roman" w:cs="Times New Roman"/>
          <w:i/>
          <w:sz w:val="24"/>
          <w:szCs w:val="24"/>
        </w:rPr>
        <w:t xml:space="preserve">Котляров М.А. </w:t>
      </w:r>
      <w:r w:rsidRPr="007917A1">
        <w:rPr>
          <w:rFonts w:ascii="Times New Roman" w:hAnsi="Times New Roman" w:cs="Times New Roman"/>
          <w:sz w:val="24"/>
          <w:szCs w:val="24"/>
        </w:rPr>
        <w:t>Рынок недвижимости в системе обеспечения финансовой стабильности Центральным банком РФ</w:t>
      </w:r>
      <w:bookmarkEnd w:id="18"/>
      <w:r w:rsidR="008510AF" w:rsidRPr="007917A1">
        <w:rPr>
          <w:rFonts w:ascii="Times New Roman" w:hAnsi="Times New Roman" w:cs="Times New Roman"/>
          <w:sz w:val="24"/>
          <w:szCs w:val="24"/>
        </w:rPr>
        <w:t xml:space="preserve"> // </w:t>
      </w:r>
      <w:r w:rsidR="00F82285" w:rsidRPr="007917A1">
        <w:rPr>
          <w:rFonts w:ascii="Times New Roman" w:hAnsi="Times New Roman" w:cs="Times New Roman"/>
          <w:sz w:val="24"/>
          <w:szCs w:val="24"/>
        </w:rPr>
        <w:t>Финансовая аналитика: проблемы и решения. т. 8, вып. 39</w:t>
      </w:r>
      <w:r w:rsidR="008510AF" w:rsidRPr="007917A1">
        <w:rPr>
          <w:rFonts w:ascii="Times New Roman" w:hAnsi="Times New Roman" w:cs="Times New Roman"/>
          <w:sz w:val="24"/>
          <w:szCs w:val="24"/>
        </w:rPr>
        <w:t>.</w:t>
      </w:r>
      <w:r w:rsidR="00F82285" w:rsidRPr="007917A1">
        <w:rPr>
          <w:rFonts w:ascii="Times New Roman" w:hAnsi="Times New Roman" w:cs="Times New Roman"/>
          <w:sz w:val="24"/>
          <w:szCs w:val="24"/>
        </w:rPr>
        <w:t xml:space="preserve"> 2015. С.21-31</w:t>
      </w:r>
    </w:p>
    <w:p w:rsidR="0021329E" w:rsidRPr="007917A1" w:rsidRDefault="0021329E" w:rsidP="0089543D">
      <w:pPr>
        <w:pStyle w:val="a5"/>
        <w:numPr>
          <w:ilvl w:val="0"/>
          <w:numId w:val="36"/>
        </w:numPr>
        <w:spacing w:line="360" w:lineRule="auto"/>
        <w:ind w:left="426" w:hanging="426"/>
        <w:jc w:val="both"/>
        <w:rPr>
          <w:rFonts w:ascii="Times New Roman" w:hAnsi="Times New Roman" w:cs="Times New Roman"/>
          <w:sz w:val="24"/>
          <w:szCs w:val="24"/>
        </w:rPr>
      </w:pPr>
      <w:bookmarkStart w:id="19" w:name="_Ref529198337"/>
      <w:r w:rsidRPr="007917A1">
        <w:rPr>
          <w:rFonts w:ascii="Times New Roman" w:hAnsi="Times New Roman" w:cs="Times New Roman"/>
          <w:i/>
          <w:sz w:val="24"/>
          <w:szCs w:val="24"/>
        </w:rPr>
        <w:t>Койка К.А.</w:t>
      </w:r>
      <w:r w:rsidRPr="007917A1">
        <w:rPr>
          <w:rFonts w:ascii="Times New Roman" w:hAnsi="Times New Roman" w:cs="Times New Roman"/>
          <w:sz w:val="24"/>
          <w:szCs w:val="24"/>
        </w:rPr>
        <w:t xml:space="preserve"> Роль Центрального Банка в регулировании процессов консолидация в банковском секторе России </w:t>
      </w:r>
      <w:r w:rsidR="0089543D" w:rsidRPr="007917A1">
        <w:rPr>
          <w:rFonts w:ascii="Times New Roman" w:hAnsi="Times New Roman" w:cs="Times New Roman"/>
          <w:sz w:val="24"/>
          <w:szCs w:val="24"/>
        </w:rPr>
        <w:t>// Наука и бизнес: пути развития.</w:t>
      </w:r>
      <w:r w:rsidRPr="007917A1">
        <w:rPr>
          <w:rFonts w:ascii="Times New Roman" w:hAnsi="Times New Roman" w:cs="Times New Roman"/>
          <w:sz w:val="24"/>
          <w:szCs w:val="24"/>
        </w:rPr>
        <w:t xml:space="preserve"> </w:t>
      </w:r>
      <w:r w:rsidR="0089543D" w:rsidRPr="007917A1">
        <w:rPr>
          <w:rFonts w:ascii="Times New Roman" w:hAnsi="Times New Roman" w:cs="Times New Roman"/>
          <w:sz w:val="24"/>
          <w:szCs w:val="24"/>
        </w:rPr>
        <w:t xml:space="preserve">№ </w:t>
      </w:r>
      <w:r w:rsidRPr="007917A1">
        <w:rPr>
          <w:rFonts w:ascii="Times New Roman" w:hAnsi="Times New Roman" w:cs="Times New Roman"/>
          <w:sz w:val="24"/>
          <w:szCs w:val="24"/>
        </w:rPr>
        <w:t>8 (74)</w:t>
      </w:r>
      <w:r w:rsidR="0089543D" w:rsidRPr="007917A1">
        <w:rPr>
          <w:rFonts w:ascii="Times New Roman" w:hAnsi="Times New Roman" w:cs="Times New Roman"/>
          <w:sz w:val="24"/>
          <w:szCs w:val="24"/>
        </w:rPr>
        <w:t>.</w:t>
      </w:r>
      <w:r w:rsidRPr="007917A1">
        <w:rPr>
          <w:rFonts w:ascii="Times New Roman" w:hAnsi="Times New Roman" w:cs="Times New Roman"/>
          <w:sz w:val="24"/>
          <w:szCs w:val="24"/>
        </w:rPr>
        <w:t xml:space="preserve"> 2017</w:t>
      </w:r>
      <w:r w:rsidR="008510AF" w:rsidRPr="007917A1">
        <w:rPr>
          <w:rFonts w:ascii="Times New Roman" w:hAnsi="Times New Roman" w:cs="Times New Roman"/>
          <w:sz w:val="24"/>
          <w:szCs w:val="24"/>
        </w:rPr>
        <w:t>.</w:t>
      </w:r>
      <w:r w:rsidRPr="007917A1">
        <w:rPr>
          <w:rFonts w:ascii="Times New Roman" w:hAnsi="Times New Roman" w:cs="Times New Roman"/>
          <w:sz w:val="24"/>
          <w:szCs w:val="24"/>
        </w:rPr>
        <w:t xml:space="preserve"> С</w:t>
      </w:r>
      <w:r w:rsidR="00E45540" w:rsidRPr="007917A1">
        <w:rPr>
          <w:rFonts w:ascii="Times New Roman" w:hAnsi="Times New Roman" w:cs="Times New Roman"/>
          <w:sz w:val="24"/>
          <w:szCs w:val="24"/>
        </w:rPr>
        <w:t>.</w:t>
      </w:r>
      <w:r w:rsidRPr="007917A1">
        <w:rPr>
          <w:rFonts w:ascii="Times New Roman" w:hAnsi="Times New Roman" w:cs="Times New Roman"/>
          <w:sz w:val="24"/>
          <w:szCs w:val="24"/>
        </w:rPr>
        <w:t xml:space="preserve"> 51-54</w:t>
      </w:r>
      <w:bookmarkEnd w:id="19"/>
      <w:r w:rsidR="000D58A4" w:rsidRPr="007917A1">
        <w:rPr>
          <w:rFonts w:ascii="Times New Roman" w:hAnsi="Times New Roman" w:cs="Times New Roman"/>
          <w:sz w:val="24"/>
          <w:szCs w:val="24"/>
        </w:rPr>
        <w:t>.</w:t>
      </w:r>
    </w:p>
    <w:p w:rsidR="000D58A4" w:rsidRPr="007917A1" w:rsidRDefault="000D58A4" w:rsidP="000D58A4">
      <w:pPr>
        <w:pStyle w:val="a5"/>
        <w:numPr>
          <w:ilvl w:val="0"/>
          <w:numId w:val="36"/>
        </w:numPr>
        <w:spacing w:line="360" w:lineRule="auto"/>
        <w:ind w:left="426" w:hanging="426"/>
        <w:jc w:val="both"/>
        <w:rPr>
          <w:rFonts w:ascii="Times New Roman" w:hAnsi="Times New Roman" w:cs="Times New Roman"/>
          <w:sz w:val="24"/>
          <w:szCs w:val="24"/>
        </w:rPr>
      </w:pPr>
      <w:bookmarkStart w:id="20" w:name="_Ref529202300"/>
      <w:r w:rsidRPr="007917A1">
        <w:rPr>
          <w:rFonts w:ascii="Times New Roman" w:hAnsi="Times New Roman" w:cs="Times New Roman"/>
          <w:i/>
          <w:sz w:val="24"/>
          <w:szCs w:val="24"/>
        </w:rPr>
        <w:t>Блохин А.А. (</w:t>
      </w:r>
      <w:proofErr w:type="spellStart"/>
      <w:proofErr w:type="gramStart"/>
      <w:r w:rsidRPr="007917A1">
        <w:rPr>
          <w:rFonts w:ascii="Times New Roman" w:hAnsi="Times New Roman" w:cs="Times New Roman"/>
          <w:i/>
          <w:sz w:val="24"/>
          <w:szCs w:val="24"/>
        </w:rPr>
        <w:t>рук.авт</w:t>
      </w:r>
      <w:proofErr w:type="gramEnd"/>
      <w:r w:rsidRPr="007917A1">
        <w:rPr>
          <w:rFonts w:ascii="Times New Roman" w:hAnsi="Times New Roman" w:cs="Times New Roman"/>
          <w:i/>
          <w:sz w:val="24"/>
          <w:szCs w:val="24"/>
        </w:rPr>
        <w:t>.кол-ва</w:t>
      </w:r>
      <w:proofErr w:type="spellEnd"/>
      <w:r w:rsidRPr="007917A1">
        <w:rPr>
          <w:rFonts w:ascii="Times New Roman" w:hAnsi="Times New Roman" w:cs="Times New Roman"/>
          <w:i/>
          <w:sz w:val="24"/>
          <w:szCs w:val="24"/>
        </w:rPr>
        <w:t xml:space="preserve">), д-р </w:t>
      </w:r>
      <w:proofErr w:type="spellStart"/>
      <w:r w:rsidRPr="007917A1">
        <w:rPr>
          <w:rFonts w:ascii="Times New Roman" w:hAnsi="Times New Roman" w:cs="Times New Roman"/>
          <w:i/>
          <w:sz w:val="24"/>
          <w:szCs w:val="24"/>
        </w:rPr>
        <w:t>экон.наук</w:t>
      </w:r>
      <w:proofErr w:type="spellEnd"/>
      <w:r w:rsidRPr="007917A1">
        <w:rPr>
          <w:rFonts w:ascii="Times New Roman" w:hAnsi="Times New Roman" w:cs="Times New Roman"/>
          <w:i/>
          <w:sz w:val="24"/>
          <w:szCs w:val="24"/>
        </w:rPr>
        <w:t xml:space="preserve"> Стерник С.Г., Близняк А.Б., Дранев С.Я., Телешев Г.В.</w:t>
      </w:r>
      <w:r w:rsidRPr="007917A1">
        <w:rPr>
          <w:rFonts w:ascii="Times New Roman" w:hAnsi="Times New Roman" w:cs="Times New Roman"/>
          <w:sz w:val="24"/>
          <w:szCs w:val="24"/>
        </w:rPr>
        <w:t xml:space="preserve"> Научный доклад “Эффекты институциональных различий и институциональной ренты в российской экономике”. </w:t>
      </w:r>
      <w:r w:rsidR="00F44DBD" w:rsidRPr="007917A1">
        <w:rPr>
          <w:rFonts w:ascii="Times New Roman" w:hAnsi="Times New Roman" w:cs="Times New Roman"/>
          <w:sz w:val="24"/>
          <w:szCs w:val="24"/>
        </w:rPr>
        <w:t xml:space="preserve">Москва: </w:t>
      </w:r>
      <w:r w:rsidRPr="007917A1">
        <w:rPr>
          <w:rFonts w:ascii="Times New Roman" w:hAnsi="Times New Roman" w:cs="Times New Roman"/>
          <w:sz w:val="24"/>
          <w:szCs w:val="24"/>
        </w:rPr>
        <w:t>Изд</w:t>
      </w:r>
      <w:r w:rsidR="00F44DBD" w:rsidRPr="007917A1">
        <w:rPr>
          <w:rFonts w:ascii="Times New Roman" w:hAnsi="Times New Roman" w:cs="Times New Roman"/>
          <w:sz w:val="24"/>
          <w:szCs w:val="24"/>
        </w:rPr>
        <w:t>-</w:t>
      </w:r>
      <w:r w:rsidRPr="007917A1">
        <w:rPr>
          <w:rFonts w:ascii="Times New Roman" w:hAnsi="Times New Roman" w:cs="Times New Roman"/>
          <w:sz w:val="24"/>
          <w:szCs w:val="24"/>
        </w:rPr>
        <w:t xml:space="preserve">во ИД </w:t>
      </w:r>
      <w:r w:rsidR="00E45540" w:rsidRPr="007917A1">
        <w:rPr>
          <w:rFonts w:ascii="Times New Roman" w:hAnsi="Times New Roman" w:cs="Times New Roman"/>
          <w:sz w:val="24"/>
          <w:szCs w:val="24"/>
        </w:rPr>
        <w:t>«</w:t>
      </w:r>
      <w:r w:rsidRPr="007917A1">
        <w:rPr>
          <w:rFonts w:ascii="Times New Roman" w:hAnsi="Times New Roman" w:cs="Times New Roman"/>
          <w:sz w:val="24"/>
          <w:szCs w:val="24"/>
        </w:rPr>
        <w:t>Международные отношения</w:t>
      </w:r>
      <w:r w:rsidR="00E45540" w:rsidRPr="007917A1">
        <w:rPr>
          <w:rFonts w:ascii="Times New Roman" w:hAnsi="Times New Roman" w:cs="Times New Roman"/>
          <w:sz w:val="24"/>
          <w:szCs w:val="24"/>
        </w:rPr>
        <w:t>»</w:t>
      </w:r>
      <w:r w:rsidRPr="007917A1">
        <w:rPr>
          <w:rFonts w:ascii="Times New Roman" w:hAnsi="Times New Roman" w:cs="Times New Roman"/>
          <w:sz w:val="24"/>
          <w:szCs w:val="24"/>
        </w:rPr>
        <w:t>, 2018. – 74 с.</w:t>
      </w:r>
      <w:bookmarkEnd w:id="20"/>
    </w:p>
    <w:p w:rsidR="00B96823" w:rsidRPr="007917A1" w:rsidRDefault="00B96823" w:rsidP="003A5732">
      <w:pPr>
        <w:pStyle w:val="a5"/>
        <w:numPr>
          <w:ilvl w:val="0"/>
          <w:numId w:val="36"/>
        </w:numPr>
        <w:spacing w:line="360" w:lineRule="auto"/>
        <w:ind w:left="426" w:hanging="426"/>
        <w:jc w:val="both"/>
        <w:rPr>
          <w:rFonts w:ascii="Times New Roman" w:hAnsi="Times New Roman" w:cs="Times New Roman"/>
          <w:i/>
          <w:sz w:val="24"/>
          <w:szCs w:val="24"/>
        </w:rPr>
      </w:pPr>
      <w:bookmarkStart w:id="21" w:name="_Ref529180517"/>
      <w:r w:rsidRPr="007917A1">
        <w:rPr>
          <w:rFonts w:ascii="Times New Roman" w:hAnsi="Times New Roman" w:cs="Times New Roman"/>
          <w:i/>
          <w:sz w:val="24"/>
          <w:szCs w:val="24"/>
        </w:rPr>
        <w:t>Стерник Г.М., Стерник С.Г.</w:t>
      </w:r>
      <w:r w:rsidRPr="007917A1">
        <w:rPr>
          <w:rFonts w:ascii="Times New Roman" w:hAnsi="Times New Roman" w:cs="Times New Roman"/>
          <w:sz w:val="24"/>
          <w:szCs w:val="24"/>
          <w:shd w:val="clear" w:color="auto" w:fill="FFFFFF"/>
        </w:rPr>
        <w:t xml:space="preserve"> </w:t>
      </w:r>
      <w:r w:rsidRPr="007917A1">
        <w:rPr>
          <w:rFonts w:ascii="Times New Roman" w:hAnsi="Times New Roman" w:cs="Times New Roman"/>
          <w:sz w:val="24"/>
          <w:szCs w:val="24"/>
        </w:rPr>
        <w:t>Оценка ставок аренды коммерческой недвижимости на узких рынках. </w:t>
      </w:r>
      <w:r w:rsidR="008510AF" w:rsidRPr="007917A1">
        <w:rPr>
          <w:rFonts w:ascii="Times New Roman" w:hAnsi="Times New Roman" w:cs="Times New Roman"/>
          <w:sz w:val="24"/>
          <w:szCs w:val="24"/>
        </w:rPr>
        <w:t xml:space="preserve">// </w:t>
      </w:r>
      <w:r w:rsidRPr="007917A1">
        <w:rPr>
          <w:rFonts w:ascii="Times New Roman" w:hAnsi="Times New Roman" w:cs="Times New Roman"/>
          <w:sz w:val="24"/>
          <w:szCs w:val="24"/>
        </w:rPr>
        <w:t>Финансы: теория и практика/</w:t>
      </w:r>
      <w:proofErr w:type="spellStart"/>
      <w:r w:rsidRPr="007917A1">
        <w:rPr>
          <w:rFonts w:ascii="Times New Roman" w:hAnsi="Times New Roman" w:cs="Times New Roman"/>
          <w:sz w:val="24"/>
          <w:szCs w:val="24"/>
        </w:rPr>
        <w:t>Finance</w:t>
      </w:r>
      <w:proofErr w:type="spellEnd"/>
      <w:r w:rsidRPr="007917A1">
        <w:rPr>
          <w:rFonts w:ascii="Times New Roman" w:hAnsi="Times New Roman" w:cs="Times New Roman"/>
          <w:sz w:val="24"/>
          <w:szCs w:val="24"/>
        </w:rPr>
        <w:t xml:space="preserve">: </w:t>
      </w:r>
      <w:proofErr w:type="spellStart"/>
      <w:r w:rsidRPr="007917A1">
        <w:rPr>
          <w:rFonts w:ascii="Times New Roman" w:hAnsi="Times New Roman" w:cs="Times New Roman"/>
          <w:sz w:val="24"/>
          <w:szCs w:val="24"/>
        </w:rPr>
        <w:t>Theory</w:t>
      </w:r>
      <w:proofErr w:type="spellEnd"/>
      <w:r w:rsidRPr="007917A1">
        <w:rPr>
          <w:rFonts w:ascii="Times New Roman" w:hAnsi="Times New Roman" w:cs="Times New Roman"/>
          <w:sz w:val="24"/>
          <w:szCs w:val="24"/>
        </w:rPr>
        <w:t xml:space="preserve"> </w:t>
      </w:r>
      <w:proofErr w:type="spellStart"/>
      <w:r w:rsidRPr="007917A1">
        <w:rPr>
          <w:rFonts w:ascii="Times New Roman" w:hAnsi="Times New Roman" w:cs="Times New Roman"/>
          <w:sz w:val="24"/>
          <w:szCs w:val="24"/>
        </w:rPr>
        <w:t>and</w:t>
      </w:r>
      <w:proofErr w:type="spellEnd"/>
      <w:r w:rsidRPr="007917A1">
        <w:rPr>
          <w:rFonts w:ascii="Times New Roman" w:hAnsi="Times New Roman" w:cs="Times New Roman"/>
          <w:sz w:val="24"/>
          <w:szCs w:val="24"/>
        </w:rPr>
        <w:t xml:space="preserve"> </w:t>
      </w:r>
      <w:proofErr w:type="spellStart"/>
      <w:r w:rsidRPr="007917A1">
        <w:rPr>
          <w:rFonts w:ascii="Times New Roman" w:hAnsi="Times New Roman" w:cs="Times New Roman"/>
          <w:sz w:val="24"/>
          <w:szCs w:val="24"/>
        </w:rPr>
        <w:t>Practice</w:t>
      </w:r>
      <w:proofErr w:type="spellEnd"/>
      <w:r w:rsidRPr="007917A1">
        <w:rPr>
          <w:rFonts w:ascii="Times New Roman" w:hAnsi="Times New Roman" w:cs="Times New Roman"/>
          <w:sz w:val="24"/>
          <w:szCs w:val="24"/>
        </w:rPr>
        <w:t>. 2015;(5): С. 73-79.</w:t>
      </w:r>
      <w:bookmarkEnd w:id="21"/>
    </w:p>
    <w:p w:rsidR="00A119AA" w:rsidRPr="007917A1" w:rsidRDefault="00F87C41" w:rsidP="004B41CB">
      <w:pPr>
        <w:pStyle w:val="a5"/>
        <w:numPr>
          <w:ilvl w:val="0"/>
          <w:numId w:val="36"/>
        </w:numPr>
        <w:spacing w:line="360" w:lineRule="auto"/>
        <w:ind w:left="426" w:hanging="426"/>
        <w:jc w:val="both"/>
        <w:rPr>
          <w:rFonts w:ascii="Times New Roman" w:hAnsi="Times New Roman" w:cs="Times New Roman"/>
          <w:sz w:val="24"/>
          <w:szCs w:val="24"/>
        </w:rPr>
      </w:pPr>
      <w:bookmarkStart w:id="22" w:name="_Ref528568196"/>
      <w:r w:rsidRPr="007917A1">
        <w:rPr>
          <w:rFonts w:ascii="Times New Roman" w:hAnsi="Times New Roman" w:cs="Times New Roman"/>
          <w:i/>
          <w:sz w:val="24"/>
          <w:szCs w:val="24"/>
        </w:rPr>
        <w:t>Федотова М.А., Стерник С.Г., Телешев Г.В.</w:t>
      </w:r>
      <w:r w:rsidRPr="007917A1">
        <w:rPr>
          <w:rFonts w:ascii="Times New Roman" w:hAnsi="Times New Roman" w:cs="Times New Roman"/>
          <w:sz w:val="24"/>
          <w:szCs w:val="24"/>
        </w:rPr>
        <w:t xml:space="preserve"> Методология управления портфелем недвижимости в составе собственного капитала и активов банка</w:t>
      </w:r>
      <w:r w:rsidR="008510AF" w:rsidRPr="007917A1">
        <w:rPr>
          <w:rFonts w:ascii="Times New Roman" w:hAnsi="Times New Roman" w:cs="Times New Roman"/>
          <w:sz w:val="24"/>
          <w:szCs w:val="24"/>
        </w:rPr>
        <w:t xml:space="preserve"> //</w:t>
      </w:r>
      <w:r w:rsidRPr="007917A1">
        <w:rPr>
          <w:rFonts w:ascii="Times New Roman" w:hAnsi="Times New Roman" w:cs="Times New Roman"/>
          <w:sz w:val="24"/>
          <w:szCs w:val="24"/>
        </w:rPr>
        <w:t xml:space="preserve"> Управленческие науки N4 (17)</w:t>
      </w:r>
      <w:r w:rsidR="008510AF" w:rsidRPr="007917A1">
        <w:rPr>
          <w:rFonts w:ascii="Times New Roman" w:hAnsi="Times New Roman" w:cs="Times New Roman"/>
          <w:sz w:val="24"/>
          <w:szCs w:val="24"/>
        </w:rPr>
        <w:t>.</w:t>
      </w:r>
      <w:r w:rsidRPr="007917A1">
        <w:rPr>
          <w:rFonts w:ascii="Times New Roman" w:hAnsi="Times New Roman" w:cs="Times New Roman"/>
          <w:sz w:val="24"/>
          <w:szCs w:val="24"/>
        </w:rPr>
        <w:t xml:space="preserve"> 2015. C.62-70</w:t>
      </w:r>
      <w:bookmarkEnd w:id="22"/>
    </w:p>
    <w:p w:rsidR="00BE55A4" w:rsidRPr="007917A1" w:rsidRDefault="00BE55A4" w:rsidP="003A5732">
      <w:pPr>
        <w:pStyle w:val="a5"/>
        <w:numPr>
          <w:ilvl w:val="0"/>
          <w:numId w:val="36"/>
        </w:numPr>
        <w:spacing w:line="360" w:lineRule="auto"/>
        <w:ind w:left="426" w:hanging="426"/>
        <w:jc w:val="both"/>
        <w:rPr>
          <w:rFonts w:ascii="Times New Roman" w:hAnsi="Times New Roman" w:cs="Times New Roman"/>
          <w:i/>
          <w:sz w:val="24"/>
          <w:szCs w:val="24"/>
        </w:rPr>
      </w:pPr>
      <w:bookmarkStart w:id="23" w:name="_Ref529187135"/>
      <w:r w:rsidRPr="007917A1">
        <w:rPr>
          <w:rFonts w:ascii="Times New Roman" w:hAnsi="Times New Roman" w:cs="Times New Roman"/>
          <w:i/>
          <w:sz w:val="24"/>
          <w:szCs w:val="24"/>
        </w:rPr>
        <w:t>Пархоменко М.С.</w:t>
      </w:r>
      <w:r w:rsidRPr="007917A1">
        <w:rPr>
          <w:rFonts w:ascii="Times New Roman" w:hAnsi="Times New Roman" w:cs="Times New Roman"/>
          <w:sz w:val="24"/>
          <w:szCs w:val="24"/>
        </w:rPr>
        <w:t xml:space="preserve"> Влияние международных санкций на рынок жилой недвижимости в  России. Сборник научных трудов XI Международной научно-практической конференции, посвященной 110-летию экономического образования в Томском политехническом университете. </w:t>
      </w:r>
      <w:r w:rsidR="00E45540" w:rsidRPr="007917A1">
        <w:rPr>
          <w:rFonts w:ascii="Times New Roman" w:hAnsi="Times New Roman" w:cs="Times New Roman"/>
          <w:sz w:val="24"/>
          <w:szCs w:val="24"/>
        </w:rPr>
        <w:t xml:space="preserve">Томск: </w:t>
      </w:r>
      <w:r w:rsidRPr="007917A1">
        <w:rPr>
          <w:rFonts w:ascii="Times New Roman" w:hAnsi="Times New Roman" w:cs="Times New Roman"/>
          <w:sz w:val="24"/>
          <w:szCs w:val="24"/>
        </w:rPr>
        <w:t>Изд</w:t>
      </w:r>
      <w:r w:rsidR="00E45540" w:rsidRPr="007917A1">
        <w:rPr>
          <w:rFonts w:ascii="Times New Roman" w:hAnsi="Times New Roman" w:cs="Times New Roman"/>
          <w:sz w:val="24"/>
          <w:szCs w:val="24"/>
        </w:rPr>
        <w:t>-</w:t>
      </w:r>
      <w:r w:rsidRPr="007917A1">
        <w:rPr>
          <w:rFonts w:ascii="Times New Roman" w:hAnsi="Times New Roman" w:cs="Times New Roman"/>
          <w:sz w:val="24"/>
          <w:szCs w:val="24"/>
        </w:rPr>
        <w:t>во Национальн</w:t>
      </w:r>
      <w:r w:rsidR="00E45540" w:rsidRPr="007917A1">
        <w:rPr>
          <w:rFonts w:ascii="Times New Roman" w:hAnsi="Times New Roman" w:cs="Times New Roman"/>
          <w:sz w:val="24"/>
          <w:szCs w:val="24"/>
        </w:rPr>
        <w:t>ого</w:t>
      </w:r>
      <w:r w:rsidRPr="007917A1">
        <w:rPr>
          <w:rFonts w:ascii="Times New Roman" w:hAnsi="Times New Roman" w:cs="Times New Roman"/>
          <w:sz w:val="24"/>
          <w:szCs w:val="24"/>
        </w:rPr>
        <w:t xml:space="preserve"> исследовательск</w:t>
      </w:r>
      <w:r w:rsidR="00E45540" w:rsidRPr="007917A1">
        <w:rPr>
          <w:rFonts w:ascii="Times New Roman" w:hAnsi="Times New Roman" w:cs="Times New Roman"/>
          <w:sz w:val="24"/>
          <w:szCs w:val="24"/>
        </w:rPr>
        <w:t>ого</w:t>
      </w:r>
      <w:r w:rsidRPr="007917A1">
        <w:rPr>
          <w:rFonts w:ascii="Times New Roman" w:hAnsi="Times New Roman" w:cs="Times New Roman"/>
          <w:sz w:val="24"/>
          <w:szCs w:val="24"/>
        </w:rPr>
        <w:t xml:space="preserve"> Томск</w:t>
      </w:r>
      <w:r w:rsidR="00E45540" w:rsidRPr="007917A1">
        <w:rPr>
          <w:rFonts w:ascii="Times New Roman" w:hAnsi="Times New Roman" w:cs="Times New Roman"/>
          <w:sz w:val="24"/>
          <w:szCs w:val="24"/>
        </w:rPr>
        <w:t>ого</w:t>
      </w:r>
      <w:r w:rsidRPr="007917A1">
        <w:rPr>
          <w:rFonts w:ascii="Times New Roman" w:hAnsi="Times New Roman" w:cs="Times New Roman"/>
          <w:sz w:val="24"/>
          <w:szCs w:val="24"/>
        </w:rPr>
        <w:t xml:space="preserve"> политехническ</w:t>
      </w:r>
      <w:r w:rsidR="00E45540" w:rsidRPr="007917A1">
        <w:rPr>
          <w:rFonts w:ascii="Times New Roman" w:hAnsi="Times New Roman" w:cs="Times New Roman"/>
          <w:sz w:val="24"/>
          <w:szCs w:val="24"/>
        </w:rPr>
        <w:t>ого</w:t>
      </w:r>
      <w:r w:rsidRPr="007917A1">
        <w:rPr>
          <w:rFonts w:ascii="Times New Roman" w:hAnsi="Times New Roman" w:cs="Times New Roman"/>
          <w:sz w:val="24"/>
          <w:szCs w:val="24"/>
        </w:rPr>
        <w:t xml:space="preserve"> университет</w:t>
      </w:r>
      <w:r w:rsidR="00E45540" w:rsidRPr="007917A1">
        <w:rPr>
          <w:rFonts w:ascii="Times New Roman" w:hAnsi="Times New Roman" w:cs="Times New Roman"/>
          <w:sz w:val="24"/>
          <w:szCs w:val="24"/>
        </w:rPr>
        <w:t>а,</w:t>
      </w:r>
      <w:r w:rsidRPr="007917A1">
        <w:rPr>
          <w:rFonts w:ascii="Times New Roman" w:hAnsi="Times New Roman" w:cs="Times New Roman"/>
          <w:sz w:val="24"/>
          <w:szCs w:val="24"/>
        </w:rPr>
        <w:t xml:space="preserve"> 2014</w:t>
      </w:r>
      <w:r w:rsidR="00E45540" w:rsidRPr="007917A1">
        <w:rPr>
          <w:rFonts w:ascii="Times New Roman" w:hAnsi="Times New Roman" w:cs="Times New Roman"/>
          <w:sz w:val="24"/>
          <w:szCs w:val="24"/>
        </w:rPr>
        <w:t>,</w:t>
      </w:r>
      <w:r w:rsidRPr="007917A1">
        <w:rPr>
          <w:rFonts w:ascii="Times New Roman" w:hAnsi="Times New Roman" w:cs="Times New Roman"/>
          <w:sz w:val="24"/>
          <w:szCs w:val="24"/>
        </w:rPr>
        <w:t xml:space="preserve"> С</w:t>
      </w:r>
      <w:r w:rsidR="00E45540" w:rsidRPr="007917A1">
        <w:rPr>
          <w:rFonts w:ascii="Times New Roman" w:hAnsi="Times New Roman" w:cs="Times New Roman"/>
          <w:sz w:val="24"/>
          <w:szCs w:val="24"/>
        </w:rPr>
        <w:t>.</w:t>
      </w:r>
      <w:r w:rsidRPr="007917A1">
        <w:rPr>
          <w:rFonts w:ascii="Times New Roman" w:hAnsi="Times New Roman" w:cs="Times New Roman"/>
          <w:sz w:val="24"/>
          <w:szCs w:val="24"/>
        </w:rPr>
        <w:t xml:space="preserve"> 242-247</w:t>
      </w:r>
      <w:r w:rsidR="0021329E" w:rsidRPr="007917A1">
        <w:rPr>
          <w:rFonts w:ascii="Times New Roman" w:hAnsi="Times New Roman" w:cs="Times New Roman"/>
          <w:sz w:val="24"/>
          <w:szCs w:val="24"/>
        </w:rPr>
        <w:t>.</w:t>
      </w:r>
    </w:p>
    <w:p w:rsidR="0051155E" w:rsidRPr="007917A1" w:rsidRDefault="0051155E" w:rsidP="003A5732">
      <w:pPr>
        <w:pStyle w:val="a5"/>
        <w:numPr>
          <w:ilvl w:val="0"/>
          <w:numId w:val="36"/>
        </w:numPr>
        <w:spacing w:line="360" w:lineRule="auto"/>
        <w:ind w:left="426" w:hanging="426"/>
        <w:jc w:val="both"/>
        <w:rPr>
          <w:rFonts w:ascii="Times New Roman" w:hAnsi="Times New Roman" w:cs="Times New Roman"/>
          <w:sz w:val="24"/>
          <w:szCs w:val="24"/>
        </w:rPr>
      </w:pPr>
      <w:bookmarkStart w:id="24" w:name="_Ref529187921"/>
      <w:proofErr w:type="spellStart"/>
      <w:r w:rsidRPr="007917A1">
        <w:rPr>
          <w:rFonts w:ascii="Times New Roman" w:hAnsi="Times New Roman" w:cs="Times New Roman"/>
          <w:i/>
          <w:sz w:val="24"/>
          <w:szCs w:val="24"/>
        </w:rPr>
        <w:t>Болочев</w:t>
      </w:r>
      <w:proofErr w:type="spellEnd"/>
      <w:r w:rsidRPr="007917A1">
        <w:rPr>
          <w:rFonts w:ascii="Times New Roman" w:hAnsi="Times New Roman" w:cs="Times New Roman"/>
          <w:i/>
          <w:sz w:val="24"/>
          <w:szCs w:val="24"/>
        </w:rPr>
        <w:t xml:space="preserve"> С.А, Алиева А.И, </w:t>
      </w:r>
      <w:proofErr w:type="spellStart"/>
      <w:r w:rsidRPr="007917A1">
        <w:rPr>
          <w:rFonts w:ascii="Times New Roman" w:hAnsi="Times New Roman" w:cs="Times New Roman"/>
          <w:i/>
          <w:sz w:val="24"/>
          <w:szCs w:val="24"/>
        </w:rPr>
        <w:t>Бороденко</w:t>
      </w:r>
      <w:proofErr w:type="spellEnd"/>
      <w:r w:rsidRPr="007917A1">
        <w:rPr>
          <w:rFonts w:ascii="Times New Roman" w:hAnsi="Times New Roman" w:cs="Times New Roman"/>
          <w:i/>
          <w:sz w:val="24"/>
          <w:szCs w:val="24"/>
        </w:rPr>
        <w:t xml:space="preserve"> А.А.</w:t>
      </w:r>
      <w:r w:rsidRPr="007917A1">
        <w:rPr>
          <w:rFonts w:ascii="Times New Roman" w:hAnsi="Times New Roman" w:cs="Times New Roman"/>
          <w:sz w:val="24"/>
          <w:szCs w:val="24"/>
        </w:rPr>
        <w:t xml:space="preserve"> Оценка влияния международных санк</w:t>
      </w:r>
      <w:r w:rsidR="003B1AFF" w:rsidRPr="007917A1">
        <w:rPr>
          <w:rFonts w:ascii="Times New Roman" w:hAnsi="Times New Roman" w:cs="Times New Roman"/>
          <w:sz w:val="24"/>
          <w:szCs w:val="24"/>
        </w:rPr>
        <w:t>ц</w:t>
      </w:r>
      <w:r w:rsidRPr="007917A1">
        <w:rPr>
          <w:rFonts w:ascii="Times New Roman" w:hAnsi="Times New Roman" w:cs="Times New Roman"/>
          <w:sz w:val="24"/>
          <w:szCs w:val="24"/>
        </w:rPr>
        <w:t>ий на рынок недвижимости России</w:t>
      </w:r>
      <w:bookmarkEnd w:id="23"/>
      <w:r w:rsidRPr="007917A1">
        <w:rPr>
          <w:rFonts w:ascii="Times New Roman" w:hAnsi="Times New Roman" w:cs="Times New Roman"/>
          <w:sz w:val="24"/>
          <w:szCs w:val="24"/>
        </w:rPr>
        <w:t xml:space="preserve"> </w:t>
      </w:r>
      <w:r w:rsidR="008510AF" w:rsidRPr="007917A1">
        <w:rPr>
          <w:rFonts w:ascii="Times New Roman" w:hAnsi="Times New Roman" w:cs="Times New Roman"/>
          <w:sz w:val="24"/>
          <w:szCs w:val="24"/>
        </w:rPr>
        <w:t xml:space="preserve">// </w:t>
      </w:r>
      <w:r w:rsidR="00E45540" w:rsidRPr="007917A1">
        <w:rPr>
          <w:rFonts w:ascii="Times New Roman" w:hAnsi="Times New Roman" w:cs="Times New Roman"/>
          <w:sz w:val="24"/>
          <w:szCs w:val="24"/>
        </w:rPr>
        <w:t xml:space="preserve">Астрахань: </w:t>
      </w:r>
      <w:r w:rsidR="00BE55A4" w:rsidRPr="007917A1">
        <w:rPr>
          <w:rFonts w:ascii="Times New Roman" w:hAnsi="Times New Roman" w:cs="Times New Roman"/>
          <w:sz w:val="24"/>
          <w:szCs w:val="24"/>
        </w:rPr>
        <w:t xml:space="preserve">Инженерно-строительный вестник </w:t>
      </w:r>
      <w:proofErr w:type="spellStart"/>
      <w:r w:rsidR="00BE55A4" w:rsidRPr="007917A1">
        <w:rPr>
          <w:rFonts w:ascii="Times New Roman" w:hAnsi="Times New Roman" w:cs="Times New Roman"/>
          <w:sz w:val="24"/>
          <w:szCs w:val="24"/>
        </w:rPr>
        <w:t>Прикаспия</w:t>
      </w:r>
      <w:proofErr w:type="spellEnd"/>
      <w:r w:rsidR="00E45540" w:rsidRPr="007917A1">
        <w:rPr>
          <w:rFonts w:ascii="Times New Roman" w:hAnsi="Times New Roman" w:cs="Times New Roman"/>
          <w:sz w:val="24"/>
          <w:szCs w:val="24"/>
        </w:rPr>
        <w:t>,</w:t>
      </w:r>
      <w:r w:rsidR="00044E7E" w:rsidRPr="007917A1">
        <w:rPr>
          <w:rFonts w:ascii="Times New Roman" w:hAnsi="Times New Roman" w:cs="Times New Roman"/>
          <w:sz w:val="24"/>
          <w:szCs w:val="24"/>
        </w:rPr>
        <w:t xml:space="preserve"> 4 (10)</w:t>
      </w:r>
      <w:r w:rsidR="00E45540" w:rsidRPr="007917A1">
        <w:rPr>
          <w:rFonts w:ascii="Times New Roman" w:hAnsi="Times New Roman" w:cs="Times New Roman"/>
          <w:sz w:val="24"/>
          <w:szCs w:val="24"/>
        </w:rPr>
        <w:t>,</w:t>
      </w:r>
      <w:r w:rsidR="00044E7E" w:rsidRPr="007917A1">
        <w:rPr>
          <w:rFonts w:ascii="Times New Roman" w:hAnsi="Times New Roman" w:cs="Times New Roman"/>
          <w:sz w:val="24"/>
          <w:szCs w:val="24"/>
        </w:rPr>
        <w:t xml:space="preserve"> 2014. С</w:t>
      </w:r>
      <w:r w:rsidR="00E45540" w:rsidRPr="007917A1">
        <w:rPr>
          <w:rFonts w:ascii="Times New Roman" w:hAnsi="Times New Roman" w:cs="Times New Roman"/>
          <w:sz w:val="24"/>
          <w:szCs w:val="24"/>
        </w:rPr>
        <w:t>.</w:t>
      </w:r>
      <w:r w:rsidR="00044E7E" w:rsidRPr="007917A1">
        <w:rPr>
          <w:rFonts w:ascii="Times New Roman" w:hAnsi="Times New Roman" w:cs="Times New Roman"/>
          <w:sz w:val="24"/>
          <w:szCs w:val="24"/>
        </w:rPr>
        <w:t xml:space="preserve"> 46-49.</w:t>
      </w:r>
      <w:bookmarkEnd w:id="24"/>
    </w:p>
    <w:p w:rsidR="00004DD8" w:rsidRPr="007917A1" w:rsidRDefault="00004DD8">
      <w:pPr>
        <w:pStyle w:val="a5"/>
        <w:numPr>
          <w:ilvl w:val="0"/>
          <w:numId w:val="36"/>
        </w:numPr>
        <w:spacing w:line="360" w:lineRule="auto"/>
        <w:ind w:left="426" w:hanging="426"/>
        <w:jc w:val="both"/>
        <w:rPr>
          <w:rFonts w:ascii="Times New Roman" w:hAnsi="Times New Roman" w:cs="Times New Roman"/>
          <w:sz w:val="24"/>
          <w:szCs w:val="24"/>
          <w:lang w:val="en-US"/>
        </w:rPr>
      </w:pPr>
      <w:bookmarkStart w:id="25" w:name="_Ref529181840"/>
      <w:r w:rsidRPr="007917A1">
        <w:rPr>
          <w:rFonts w:ascii="Times New Roman" w:hAnsi="Times New Roman" w:cs="Times New Roman"/>
          <w:i/>
          <w:sz w:val="24"/>
          <w:szCs w:val="24"/>
          <w:lang w:val="en-US"/>
        </w:rPr>
        <w:t>Apgar</w:t>
      </w:r>
      <w:r w:rsidR="00E45540" w:rsidRPr="007917A1">
        <w:rPr>
          <w:rFonts w:ascii="Times New Roman" w:hAnsi="Times New Roman" w:cs="Times New Roman"/>
          <w:i/>
          <w:sz w:val="24"/>
          <w:szCs w:val="24"/>
          <w:lang w:val="en-US"/>
        </w:rPr>
        <w:t>.</w:t>
      </w:r>
      <w:r w:rsidRPr="007917A1">
        <w:rPr>
          <w:rFonts w:ascii="Times New Roman" w:hAnsi="Times New Roman" w:cs="Times New Roman"/>
          <w:i/>
          <w:sz w:val="24"/>
          <w:szCs w:val="24"/>
          <w:lang w:val="en-US"/>
        </w:rPr>
        <w:t xml:space="preserve"> </w:t>
      </w:r>
      <w:r w:rsidR="00E45540" w:rsidRPr="007917A1">
        <w:rPr>
          <w:rFonts w:ascii="Times New Roman" w:hAnsi="Times New Roman" w:cs="Times New Roman"/>
          <w:i/>
          <w:sz w:val="24"/>
          <w:szCs w:val="24"/>
          <w:lang w:val="en-US"/>
        </w:rPr>
        <w:t>M</w:t>
      </w:r>
      <w:r w:rsidRPr="007917A1">
        <w:rPr>
          <w:rFonts w:ascii="Times New Roman" w:hAnsi="Times New Roman" w:cs="Times New Roman"/>
          <w:i/>
          <w:sz w:val="24"/>
          <w:szCs w:val="24"/>
          <w:lang w:val="en-US"/>
        </w:rPr>
        <w:t>.</w:t>
      </w:r>
      <w:r w:rsidRPr="007917A1">
        <w:rPr>
          <w:rFonts w:ascii="Times New Roman" w:hAnsi="Times New Roman" w:cs="Times New Roman"/>
          <w:sz w:val="24"/>
          <w:szCs w:val="24"/>
          <w:lang w:val="en-US"/>
        </w:rPr>
        <w:t xml:space="preserve"> Managing Real Estate to Build Value. </w:t>
      </w:r>
      <w:proofErr w:type="spellStart"/>
      <w:r w:rsidRPr="007917A1">
        <w:rPr>
          <w:rFonts w:ascii="Times New Roman" w:hAnsi="Times New Roman" w:cs="Times New Roman"/>
          <w:sz w:val="24"/>
          <w:szCs w:val="24"/>
          <w:lang w:val="en-US"/>
        </w:rPr>
        <w:t>Harward</w:t>
      </w:r>
      <w:proofErr w:type="spellEnd"/>
      <w:r w:rsidRPr="007917A1">
        <w:rPr>
          <w:rFonts w:ascii="Times New Roman" w:hAnsi="Times New Roman" w:cs="Times New Roman"/>
          <w:sz w:val="24"/>
          <w:szCs w:val="24"/>
          <w:lang w:val="en-US"/>
        </w:rPr>
        <w:t xml:space="preserve"> Business Review</w:t>
      </w:r>
      <w:r w:rsidR="00A05054" w:rsidRPr="007917A1">
        <w:rPr>
          <w:rFonts w:ascii="Times New Roman" w:hAnsi="Times New Roman" w:cs="Times New Roman"/>
          <w:sz w:val="24"/>
          <w:szCs w:val="24"/>
          <w:lang w:val="en-US"/>
        </w:rPr>
        <w:t>, November</w:t>
      </w:r>
      <w:r w:rsidRPr="007917A1">
        <w:rPr>
          <w:rFonts w:ascii="Times New Roman" w:hAnsi="Times New Roman" w:cs="Times New Roman"/>
          <w:sz w:val="24"/>
          <w:szCs w:val="24"/>
          <w:lang w:val="en-US"/>
        </w:rPr>
        <w:t xml:space="preserve"> 1995</w:t>
      </w:r>
      <w:r w:rsidR="00A05054" w:rsidRPr="007917A1">
        <w:rPr>
          <w:rFonts w:ascii="Times New Roman" w:hAnsi="Times New Roman" w:cs="Times New Roman"/>
          <w:sz w:val="24"/>
          <w:szCs w:val="24"/>
          <w:lang w:val="en-US"/>
        </w:rPr>
        <w:t>. Available at:</w:t>
      </w:r>
      <w:r w:rsidRPr="007917A1">
        <w:rPr>
          <w:rFonts w:ascii="Times New Roman" w:hAnsi="Times New Roman" w:cs="Times New Roman"/>
          <w:sz w:val="24"/>
          <w:szCs w:val="24"/>
          <w:lang w:val="en-US"/>
        </w:rPr>
        <w:t xml:space="preserve"> </w:t>
      </w:r>
      <w:bookmarkEnd w:id="25"/>
      <w:r w:rsidR="00D406C5" w:rsidRPr="007917A1">
        <w:rPr>
          <w:rFonts w:ascii="Times New Roman" w:hAnsi="Times New Roman" w:cs="Times New Roman"/>
          <w:sz w:val="24"/>
          <w:szCs w:val="24"/>
          <w:lang w:val="en-US"/>
        </w:rPr>
        <w:t>https://hbr.org/1995/11/managing-real-estate-to-build-value</w:t>
      </w:r>
    </w:p>
    <w:p w:rsidR="00A17437" w:rsidRPr="007917A1" w:rsidRDefault="0036506D" w:rsidP="003A5732">
      <w:pPr>
        <w:pStyle w:val="a5"/>
        <w:numPr>
          <w:ilvl w:val="0"/>
          <w:numId w:val="36"/>
        </w:numPr>
        <w:spacing w:line="360" w:lineRule="auto"/>
        <w:ind w:left="426" w:hanging="426"/>
        <w:jc w:val="both"/>
        <w:rPr>
          <w:rFonts w:ascii="Times New Roman" w:hAnsi="Times New Roman" w:cs="Times New Roman"/>
          <w:sz w:val="24"/>
          <w:szCs w:val="24"/>
          <w:lang w:val="en-US"/>
        </w:rPr>
      </w:pPr>
      <w:bookmarkStart w:id="26" w:name="_Ref529186500"/>
      <w:r w:rsidRPr="007917A1">
        <w:rPr>
          <w:rFonts w:ascii="Times New Roman" w:hAnsi="Times New Roman" w:cs="Times New Roman"/>
          <w:i/>
          <w:sz w:val="24"/>
          <w:szCs w:val="24"/>
          <w:lang w:val="en-US"/>
        </w:rPr>
        <w:lastRenderedPageBreak/>
        <w:t>Lindholm</w:t>
      </w:r>
      <w:r w:rsidR="003D79F2" w:rsidRPr="007917A1">
        <w:rPr>
          <w:rFonts w:ascii="Times New Roman" w:hAnsi="Times New Roman" w:cs="Times New Roman"/>
          <w:i/>
          <w:sz w:val="24"/>
          <w:szCs w:val="24"/>
          <w:lang w:val="en-US"/>
        </w:rPr>
        <w:t xml:space="preserve"> A.</w:t>
      </w:r>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Gibler</w:t>
      </w:r>
      <w:proofErr w:type="spellEnd"/>
      <w:r w:rsidR="003D79F2" w:rsidRPr="007917A1">
        <w:rPr>
          <w:rFonts w:ascii="Times New Roman" w:hAnsi="Times New Roman" w:cs="Times New Roman"/>
          <w:i/>
          <w:sz w:val="24"/>
          <w:szCs w:val="24"/>
          <w:lang w:val="en-US"/>
        </w:rPr>
        <w:t xml:space="preserve"> K.</w:t>
      </w:r>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Levainen</w:t>
      </w:r>
      <w:proofErr w:type="spellEnd"/>
      <w:r w:rsidR="003D79F2" w:rsidRPr="007917A1">
        <w:rPr>
          <w:rFonts w:ascii="Times New Roman" w:hAnsi="Times New Roman" w:cs="Times New Roman"/>
          <w:i/>
          <w:sz w:val="24"/>
          <w:szCs w:val="24"/>
          <w:lang w:val="en-US"/>
        </w:rPr>
        <w:t xml:space="preserve"> K</w:t>
      </w:r>
      <w:r w:rsidRPr="007917A1">
        <w:rPr>
          <w:rFonts w:ascii="Times New Roman" w:hAnsi="Times New Roman" w:cs="Times New Roman"/>
          <w:sz w:val="24"/>
          <w:szCs w:val="24"/>
          <w:lang w:val="en-US"/>
        </w:rPr>
        <w:t xml:space="preserve">. Modeling the Value-Adding Attributes of Real Estate to the Wealth Maximization of the Firm. </w:t>
      </w:r>
      <w:bookmarkEnd w:id="26"/>
      <w:r w:rsidR="003D79F2" w:rsidRPr="007917A1">
        <w:rPr>
          <w:rFonts w:ascii="Times New Roman" w:hAnsi="Times New Roman" w:cs="Times New Roman"/>
          <w:sz w:val="24"/>
          <w:szCs w:val="24"/>
          <w:lang w:val="en-US"/>
        </w:rPr>
        <w:t xml:space="preserve">Journal of real estate research, 2006, vol. 28, no. 4. pp. 445-475. Available at: </w:t>
      </w:r>
      <w:r w:rsidR="00FB5F7C" w:rsidRPr="007917A1">
        <w:rPr>
          <w:rFonts w:ascii="Times New Roman" w:hAnsi="Times New Roman" w:cs="Times New Roman"/>
          <w:sz w:val="24"/>
          <w:szCs w:val="24"/>
          <w:lang w:val="en-US"/>
        </w:rPr>
        <w:t>https://pages.jh.edu/jrer/papers/pdf/past/vol28n04/05.445_476.pdf</w:t>
      </w:r>
    </w:p>
    <w:p w:rsidR="00FB5F7C" w:rsidRPr="007917A1" w:rsidRDefault="00FB5F7C" w:rsidP="008510AF">
      <w:pPr>
        <w:pStyle w:val="a5"/>
        <w:numPr>
          <w:ilvl w:val="0"/>
          <w:numId w:val="36"/>
        </w:numPr>
        <w:spacing w:line="360" w:lineRule="auto"/>
        <w:ind w:left="426" w:hanging="426"/>
        <w:jc w:val="both"/>
        <w:rPr>
          <w:rFonts w:ascii="Times New Roman" w:hAnsi="Times New Roman" w:cs="Times New Roman"/>
          <w:sz w:val="24"/>
          <w:szCs w:val="24"/>
          <w:lang w:val="en-US"/>
        </w:rPr>
      </w:pPr>
      <w:bookmarkStart w:id="27" w:name="_Ref532222634"/>
      <w:r w:rsidRPr="007917A1">
        <w:rPr>
          <w:rFonts w:ascii="Times New Roman" w:hAnsi="Times New Roman" w:cs="Times New Roman"/>
          <w:i/>
          <w:sz w:val="24"/>
          <w:szCs w:val="24"/>
        </w:rPr>
        <w:t>Жуков Е.В.</w:t>
      </w:r>
      <w:r w:rsidRPr="007917A1">
        <w:rPr>
          <w:rFonts w:ascii="Times New Roman" w:hAnsi="Times New Roman" w:cs="Times New Roman"/>
          <w:sz w:val="24"/>
          <w:szCs w:val="24"/>
        </w:rPr>
        <w:t xml:space="preserve"> Стратегическое управление недвижимым имуществом в российских корпорациях</w:t>
      </w:r>
      <w:r w:rsidR="008510AF" w:rsidRPr="007917A1">
        <w:rPr>
          <w:rFonts w:ascii="Times New Roman" w:hAnsi="Times New Roman" w:cs="Times New Roman"/>
          <w:sz w:val="24"/>
          <w:szCs w:val="24"/>
        </w:rPr>
        <w:t xml:space="preserve"> // Экономика и предпринимательство. </w:t>
      </w:r>
      <w:r w:rsidR="008510AF" w:rsidRPr="007917A1">
        <w:rPr>
          <w:rFonts w:ascii="Times New Roman" w:hAnsi="Times New Roman" w:cs="Times New Roman"/>
          <w:sz w:val="24"/>
          <w:szCs w:val="24"/>
          <w:lang w:val="en-US"/>
        </w:rPr>
        <w:t>№5-2 (82). 2017. С</w:t>
      </w:r>
      <w:r w:rsidR="008510AF" w:rsidRPr="007917A1">
        <w:rPr>
          <w:rFonts w:ascii="Times New Roman" w:hAnsi="Times New Roman" w:cs="Times New Roman"/>
          <w:sz w:val="24"/>
          <w:szCs w:val="24"/>
        </w:rPr>
        <w:t>.</w:t>
      </w:r>
      <w:r w:rsidR="008510AF" w:rsidRPr="007917A1">
        <w:rPr>
          <w:rFonts w:ascii="Times New Roman" w:hAnsi="Times New Roman" w:cs="Times New Roman"/>
          <w:sz w:val="24"/>
          <w:szCs w:val="24"/>
          <w:lang w:val="en-US"/>
        </w:rPr>
        <w:t xml:space="preserve"> 1119-1124</w:t>
      </w:r>
      <w:r w:rsidR="008510AF" w:rsidRPr="007917A1">
        <w:rPr>
          <w:rFonts w:ascii="Times New Roman" w:hAnsi="Times New Roman" w:cs="Times New Roman"/>
          <w:sz w:val="24"/>
          <w:szCs w:val="24"/>
        </w:rPr>
        <w:t>.</w:t>
      </w:r>
      <w:bookmarkEnd w:id="27"/>
    </w:p>
    <w:p w:rsidR="008510AF" w:rsidRPr="007917A1" w:rsidRDefault="008510AF" w:rsidP="008510AF">
      <w:pPr>
        <w:pStyle w:val="a5"/>
        <w:numPr>
          <w:ilvl w:val="0"/>
          <w:numId w:val="36"/>
        </w:numPr>
        <w:spacing w:line="360" w:lineRule="auto"/>
        <w:ind w:left="426" w:hanging="426"/>
        <w:jc w:val="both"/>
        <w:rPr>
          <w:rFonts w:ascii="Times New Roman" w:hAnsi="Times New Roman" w:cs="Times New Roman"/>
          <w:sz w:val="24"/>
          <w:szCs w:val="24"/>
          <w:lang w:val="en-US"/>
        </w:rPr>
      </w:pPr>
      <w:bookmarkStart w:id="28" w:name="_Ref532222671"/>
      <w:r w:rsidRPr="007917A1">
        <w:rPr>
          <w:rFonts w:ascii="Times New Roman" w:hAnsi="Times New Roman" w:cs="Times New Roman"/>
          <w:i/>
          <w:sz w:val="24"/>
          <w:szCs w:val="24"/>
        </w:rPr>
        <w:t xml:space="preserve">Озеров Е.С., </w:t>
      </w:r>
      <w:proofErr w:type="spellStart"/>
      <w:r w:rsidRPr="007917A1">
        <w:rPr>
          <w:rFonts w:ascii="Times New Roman" w:hAnsi="Times New Roman" w:cs="Times New Roman"/>
          <w:i/>
          <w:sz w:val="24"/>
          <w:szCs w:val="24"/>
        </w:rPr>
        <w:t>Пупенцова</w:t>
      </w:r>
      <w:proofErr w:type="spellEnd"/>
      <w:r w:rsidRPr="007917A1">
        <w:rPr>
          <w:rFonts w:ascii="Times New Roman" w:hAnsi="Times New Roman" w:cs="Times New Roman"/>
          <w:i/>
          <w:sz w:val="24"/>
          <w:szCs w:val="24"/>
        </w:rPr>
        <w:t xml:space="preserve"> С.В.</w:t>
      </w:r>
      <w:r w:rsidRPr="007917A1">
        <w:rPr>
          <w:rFonts w:ascii="Times New Roman" w:hAnsi="Times New Roman" w:cs="Times New Roman"/>
          <w:sz w:val="24"/>
          <w:szCs w:val="24"/>
        </w:rPr>
        <w:t xml:space="preserve"> Управление стоимостью и инвестиционным потенциалом недвижимости</w:t>
      </w:r>
      <w:r w:rsidR="0089543D" w:rsidRPr="007917A1">
        <w:rPr>
          <w:rFonts w:ascii="Times New Roman" w:hAnsi="Times New Roman" w:cs="Times New Roman"/>
          <w:sz w:val="24"/>
          <w:szCs w:val="24"/>
        </w:rPr>
        <w:t>.</w:t>
      </w:r>
      <w:r w:rsidRPr="007917A1">
        <w:rPr>
          <w:rFonts w:ascii="Times New Roman" w:hAnsi="Times New Roman" w:cs="Times New Roman"/>
          <w:sz w:val="24"/>
          <w:szCs w:val="24"/>
        </w:rPr>
        <w:t xml:space="preserve"> Санкт</w:t>
      </w:r>
      <w:r w:rsidRPr="007917A1">
        <w:rPr>
          <w:rFonts w:ascii="Times New Roman" w:hAnsi="Times New Roman" w:cs="Times New Roman"/>
          <w:sz w:val="24"/>
          <w:szCs w:val="24"/>
          <w:lang w:val="en-US"/>
        </w:rPr>
        <w:t>-</w:t>
      </w:r>
      <w:r w:rsidRPr="007917A1">
        <w:rPr>
          <w:rFonts w:ascii="Times New Roman" w:hAnsi="Times New Roman" w:cs="Times New Roman"/>
          <w:sz w:val="24"/>
          <w:szCs w:val="24"/>
        </w:rPr>
        <w:t>Петербург</w:t>
      </w:r>
      <w:r w:rsidR="0089543D" w:rsidRPr="007917A1">
        <w:rPr>
          <w:rFonts w:ascii="Times New Roman" w:hAnsi="Times New Roman" w:cs="Times New Roman"/>
          <w:sz w:val="24"/>
          <w:szCs w:val="24"/>
          <w:lang w:val="en-US"/>
        </w:rPr>
        <w:t xml:space="preserve">: </w:t>
      </w:r>
      <w:r w:rsidR="0089543D" w:rsidRPr="007917A1">
        <w:rPr>
          <w:rFonts w:ascii="Times New Roman" w:hAnsi="Times New Roman" w:cs="Times New Roman"/>
          <w:sz w:val="24"/>
          <w:szCs w:val="24"/>
        </w:rPr>
        <w:t>издательство</w:t>
      </w:r>
      <w:r w:rsidR="0089543D" w:rsidRPr="007917A1">
        <w:rPr>
          <w:rFonts w:ascii="Times New Roman" w:hAnsi="Times New Roman" w:cs="Times New Roman"/>
          <w:sz w:val="24"/>
          <w:szCs w:val="24"/>
          <w:lang w:val="en-US"/>
        </w:rPr>
        <w:t xml:space="preserve"> </w:t>
      </w:r>
      <w:r w:rsidR="0089543D" w:rsidRPr="007917A1">
        <w:rPr>
          <w:rFonts w:ascii="Times New Roman" w:hAnsi="Times New Roman" w:cs="Times New Roman"/>
          <w:sz w:val="24"/>
          <w:szCs w:val="24"/>
        </w:rPr>
        <w:t>Политехнического</w:t>
      </w:r>
      <w:r w:rsidR="0089543D" w:rsidRPr="007917A1">
        <w:rPr>
          <w:rFonts w:ascii="Times New Roman" w:hAnsi="Times New Roman" w:cs="Times New Roman"/>
          <w:sz w:val="24"/>
          <w:szCs w:val="24"/>
          <w:lang w:val="en-US"/>
        </w:rPr>
        <w:t xml:space="preserve"> </w:t>
      </w:r>
      <w:r w:rsidR="0089543D" w:rsidRPr="007917A1">
        <w:rPr>
          <w:rFonts w:ascii="Times New Roman" w:hAnsi="Times New Roman" w:cs="Times New Roman"/>
          <w:sz w:val="24"/>
          <w:szCs w:val="24"/>
        </w:rPr>
        <w:t>университета</w:t>
      </w:r>
      <w:r w:rsidR="0089543D" w:rsidRPr="007917A1">
        <w:rPr>
          <w:rFonts w:ascii="Times New Roman" w:hAnsi="Times New Roman" w:cs="Times New Roman"/>
          <w:sz w:val="24"/>
          <w:szCs w:val="24"/>
          <w:lang w:val="en-US"/>
        </w:rPr>
        <w:t>. 2015</w:t>
      </w:r>
      <w:r w:rsidR="0089543D" w:rsidRPr="007917A1">
        <w:rPr>
          <w:rFonts w:ascii="Times New Roman" w:hAnsi="Times New Roman" w:cs="Times New Roman"/>
          <w:sz w:val="24"/>
          <w:szCs w:val="24"/>
        </w:rPr>
        <w:t> – 600 с.</w:t>
      </w:r>
      <w:bookmarkEnd w:id="28"/>
    </w:p>
    <w:p w:rsidR="00C554D4" w:rsidRPr="007917A1" w:rsidRDefault="00C554D4" w:rsidP="004B41CB">
      <w:pPr>
        <w:spacing w:before="120" w:after="0" w:line="360" w:lineRule="auto"/>
        <w:rPr>
          <w:rFonts w:ascii="Times New Roman" w:eastAsia="Times New Roman" w:hAnsi="Times New Roman" w:cs="Times New Roman"/>
          <w:b/>
          <w:sz w:val="24"/>
          <w:szCs w:val="24"/>
          <w:lang w:val="en-US" w:eastAsia="ru-RU"/>
        </w:rPr>
      </w:pPr>
      <w:r w:rsidRPr="007917A1">
        <w:rPr>
          <w:rFonts w:ascii="Times New Roman" w:eastAsia="Times New Roman" w:hAnsi="Times New Roman" w:cs="Times New Roman"/>
          <w:b/>
          <w:sz w:val="24"/>
          <w:szCs w:val="24"/>
          <w:lang w:val="en-US" w:eastAsia="ru-RU"/>
        </w:rPr>
        <w:t>References</w:t>
      </w:r>
    </w:p>
    <w:p w:rsidR="00D406C5" w:rsidRPr="007917A1" w:rsidRDefault="00D406C5" w:rsidP="003A5732">
      <w:pPr>
        <w:pStyle w:val="a5"/>
        <w:numPr>
          <w:ilvl w:val="0"/>
          <w:numId w:val="42"/>
        </w:numPr>
        <w:spacing w:line="360" w:lineRule="auto"/>
        <w:ind w:left="426" w:hanging="426"/>
        <w:jc w:val="both"/>
        <w:rPr>
          <w:rFonts w:ascii="Times New Roman" w:hAnsi="Times New Roman" w:cs="Times New Roman"/>
          <w:i/>
          <w:sz w:val="24"/>
          <w:szCs w:val="24"/>
          <w:lang w:val="en-US"/>
        </w:rPr>
      </w:pPr>
      <w:r w:rsidRPr="007917A1">
        <w:rPr>
          <w:rFonts w:ascii="Times New Roman" w:hAnsi="Times New Roman" w:cs="Times New Roman"/>
          <w:i/>
          <w:sz w:val="24"/>
          <w:szCs w:val="24"/>
          <w:lang w:val="en-US"/>
        </w:rPr>
        <w:t xml:space="preserve">Malpezzi </w:t>
      </w:r>
      <w:proofErr w:type="gramStart"/>
      <w:r w:rsidRPr="007917A1">
        <w:rPr>
          <w:rFonts w:ascii="Times New Roman" w:hAnsi="Times New Roman" w:cs="Times New Roman"/>
          <w:i/>
          <w:sz w:val="24"/>
          <w:szCs w:val="24"/>
          <w:lang w:val="en-US"/>
        </w:rPr>
        <w:t>S..</w:t>
      </w:r>
      <w:proofErr w:type="gramEnd"/>
      <w:r w:rsidRPr="007917A1">
        <w:rPr>
          <w:rFonts w:ascii="Times New Roman" w:hAnsi="Times New Roman" w:cs="Times New Roman"/>
          <w:i/>
          <w:sz w:val="24"/>
          <w:szCs w:val="24"/>
          <w:lang w:val="en-US"/>
        </w:rPr>
        <w:t xml:space="preserve"> </w:t>
      </w:r>
      <w:r w:rsidRPr="007917A1">
        <w:rPr>
          <w:rFonts w:ascii="Times New Roman" w:hAnsi="Times New Roman" w:cs="Times New Roman"/>
          <w:sz w:val="24"/>
          <w:szCs w:val="24"/>
          <w:lang w:val="en-US"/>
        </w:rPr>
        <w:t xml:space="preserve">Residential Real Estate in the U.S. Financial Crisis, the Great Recession, and their Aftermath. Taiwan </w:t>
      </w:r>
      <w:proofErr w:type="spellStart"/>
      <w:r w:rsidRPr="007917A1">
        <w:rPr>
          <w:rFonts w:ascii="Times New Roman" w:hAnsi="Times New Roman" w:cs="Times New Roman"/>
          <w:sz w:val="24"/>
          <w:szCs w:val="24"/>
        </w:rPr>
        <w:t>Economic</w:t>
      </w:r>
      <w:proofErr w:type="spellEnd"/>
      <w:r w:rsidRPr="007917A1">
        <w:rPr>
          <w:rFonts w:ascii="Times New Roman" w:hAnsi="Times New Roman" w:cs="Times New Roman"/>
          <w:sz w:val="24"/>
          <w:szCs w:val="24"/>
        </w:rPr>
        <w:t xml:space="preserve"> </w:t>
      </w:r>
      <w:proofErr w:type="spellStart"/>
      <w:r w:rsidRPr="007917A1">
        <w:rPr>
          <w:rFonts w:ascii="Times New Roman" w:hAnsi="Times New Roman" w:cs="Times New Roman"/>
          <w:sz w:val="24"/>
          <w:szCs w:val="24"/>
        </w:rPr>
        <w:t>Review</w:t>
      </w:r>
      <w:proofErr w:type="spellEnd"/>
      <w:r w:rsidRPr="007917A1">
        <w:rPr>
          <w:rFonts w:ascii="Times New Roman" w:hAnsi="Times New Roman" w:cs="Times New Roman"/>
          <w:sz w:val="24"/>
          <w:szCs w:val="24"/>
        </w:rPr>
        <w:t xml:space="preserve">, 45:1, 2017, </w:t>
      </w:r>
      <w:r w:rsidRPr="007917A1">
        <w:rPr>
          <w:rFonts w:ascii="Times New Roman" w:hAnsi="Times New Roman" w:cs="Times New Roman"/>
          <w:sz w:val="24"/>
          <w:szCs w:val="24"/>
          <w:lang w:val="en-US"/>
        </w:rPr>
        <w:t>pp</w:t>
      </w:r>
      <w:r w:rsidRPr="007917A1">
        <w:rPr>
          <w:rFonts w:ascii="Times New Roman" w:hAnsi="Times New Roman" w:cs="Times New Roman"/>
          <w:sz w:val="24"/>
          <w:szCs w:val="24"/>
        </w:rPr>
        <w:t>. 5–56.</w:t>
      </w:r>
      <w:r w:rsidRPr="007917A1">
        <w:rPr>
          <w:rFonts w:ascii="Times New Roman" w:hAnsi="Times New Roman" w:cs="Times New Roman"/>
          <w:sz w:val="24"/>
          <w:szCs w:val="24"/>
          <w:lang w:val="en-US"/>
        </w:rPr>
        <w:t xml:space="preserve"> </w:t>
      </w:r>
      <w:proofErr w:type="spellStart"/>
      <w:r w:rsidRPr="007917A1">
        <w:rPr>
          <w:rFonts w:ascii="Times New Roman" w:hAnsi="Times New Roman" w:cs="Times New Roman"/>
          <w:sz w:val="24"/>
          <w:szCs w:val="24"/>
          <w:lang w:val="en-US"/>
        </w:rPr>
        <w:t>doi</w:t>
      </w:r>
      <w:proofErr w:type="spellEnd"/>
      <w:r w:rsidRPr="007917A1">
        <w:rPr>
          <w:rFonts w:ascii="Times New Roman" w:hAnsi="Times New Roman" w:cs="Times New Roman"/>
          <w:sz w:val="24"/>
          <w:szCs w:val="24"/>
          <w:lang w:val="en-US"/>
        </w:rPr>
        <w:t>: 10.6277/TER.2017.451.1</w:t>
      </w:r>
    </w:p>
    <w:p w:rsidR="00D406C5" w:rsidRPr="007917A1" w:rsidRDefault="00D406C5" w:rsidP="003A5732">
      <w:pPr>
        <w:pStyle w:val="a5"/>
        <w:numPr>
          <w:ilvl w:val="0"/>
          <w:numId w:val="42"/>
        </w:numPr>
        <w:spacing w:line="360" w:lineRule="auto"/>
        <w:ind w:left="426" w:hanging="426"/>
        <w:jc w:val="both"/>
        <w:rPr>
          <w:rFonts w:ascii="Times New Roman" w:hAnsi="Times New Roman" w:cs="Times New Roman"/>
          <w:sz w:val="24"/>
          <w:szCs w:val="24"/>
          <w:lang w:val="en-US"/>
        </w:rPr>
      </w:pPr>
      <w:proofErr w:type="spellStart"/>
      <w:r w:rsidRPr="007917A1">
        <w:rPr>
          <w:rFonts w:ascii="Times New Roman" w:hAnsi="Times New Roman" w:cs="Times New Roman"/>
          <w:i/>
          <w:sz w:val="24"/>
          <w:szCs w:val="24"/>
          <w:lang w:val="en-US"/>
        </w:rPr>
        <w:t>Sutorova</w:t>
      </w:r>
      <w:proofErr w:type="spellEnd"/>
      <w:r w:rsidRPr="007917A1">
        <w:rPr>
          <w:rFonts w:ascii="Times New Roman" w:hAnsi="Times New Roman" w:cs="Times New Roman"/>
          <w:i/>
          <w:sz w:val="24"/>
          <w:szCs w:val="24"/>
          <w:lang w:val="en-US"/>
        </w:rPr>
        <w:t xml:space="preserve"> B., </w:t>
      </w:r>
      <w:proofErr w:type="spellStart"/>
      <w:r w:rsidRPr="007917A1">
        <w:rPr>
          <w:rFonts w:ascii="Times New Roman" w:hAnsi="Times New Roman" w:cs="Times New Roman"/>
          <w:i/>
          <w:sz w:val="24"/>
          <w:szCs w:val="24"/>
          <w:lang w:val="en-US"/>
        </w:rPr>
        <w:t>Teply</w:t>
      </w:r>
      <w:proofErr w:type="spellEnd"/>
      <w:r w:rsidRPr="007917A1">
        <w:rPr>
          <w:rFonts w:ascii="Times New Roman" w:hAnsi="Times New Roman" w:cs="Times New Roman"/>
          <w:i/>
          <w:sz w:val="24"/>
          <w:szCs w:val="24"/>
          <w:lang w:val="en-US"/>
        </w:rPr>
        <w:t xml:space="preserve"> P</w:t>
      </w:r>
      <w:r w:rsidRPr="007917A1">
        <w:rPr>
          <w:rFonts w:ascii="Times New Roman" w:hAnsi="Times New Roman" w:cs="Times New Roman"/>
          <w:sz w:val="24"/>
          <w:szCs w:val="24"/>
          <w:lang w:val="en-US"/>
        </w:rPr>
        <w:t xml:space="preserve">. The Impact of Basel III on Lending Rates of EU Banks. – Czech Journal of Economics and Finance, Charles University Prague, 2013, no. 63(3). pp. 226-243. </w:t>
      </w:r>
    </w:p>
    <w:p w:rsidR="00D406C5" w:rsidRPr="007917A1" w:rsidRDefault="00D406C5" w:rsidP="003A5732">
      <w:pPr>
        <w:pStyle w:val="a5"/>
        <w:numPr>
          <w:ilvl w:val="0"/>
          <w:numId w:val="42"/>
        </w:numPr>
        <w:spacing w:line="360" w:lineRule="auto"/>
        <w:ind w:left="426" w:hanging="426"/>
        <w:jc w:val="both"/>
        <w:rPr>
          <w:rFonts w:ascii="Times New Roman" w:hAnsi="Times New Roman" w:cs="Times New Roman"/>
          <w:sz w:val="24"/>
          <w:szCs w:val="24"/>
          <w:lang w:val="en-US"/>
        </w:rPr>
      </w:pPr>
      <w:proofErr w:type="spellStart"/>
      <w:r w:rsidRPr="007917A1">
        <w:rPr>
          <w:rFonts w:ascii="Times New Roman" w:hAnsi="Times New Roman" w:cs="Times New Roman"/>
          <w:i/>
          <w:sz w:val="24"/>
          <w:szCs w:val="24"/>
          <w:lang w:val="en-US"/>
        </w:rPr>
        <w:t>Hoesli</w:t>
      </w:r>
      <w:proofErr w:type="spellEnd"/>
      <w:r w:rsidRPr="007917A1">
        <w:rPr>
          <w:rFonts w:ascii="Times New Roman" w:hAnsi="Times New Roman" w:cs="Times New Roman"/>
          <w:i/>
          <w:sz w:val="24"/>
          <w:szCs w:val="24"/>
          <w:lang w:val="en-US"/>
        </w:rPr>
        <w:t xml:space="preserve"> M., </w:t>
      </w:r>
      <w:proofErr w:type="spellStart"/>
      <w:r w:rsidRPr="007917A1">
        <w:rPr>
          <w:rFonts w:ascii="Times New Roman" w:hAnsi="Times New Roman" w:cs="Times New Roman"/>
          <w:i/>
          <w:sz w:val="24"/>
          <w:szCs w:val="24"/>
          <w:lang w:val="en-US"/>
        </w:rPr>
        <w:t>Milcheva</w:t>
      </w:r>
      <w:proofErr w:type="spellEnd"/>
      <w:r w:rsidRPr="007917A1">
        <w:rPr>
          <w:rFonts w:ascii="Times New Roman" w:hAnsi="Times New Roman" w:cs="Times New Roman"/>
          <w:i/>
          <w:sz w:val="24"/>
          <w:szCs w:val="24"/>
          <w:lang w:val="en-US"/>
        </w:rPr>
        <w:t xml:space="preserve"> S., Moss A.</w:t>
      </w:r>
      <w:r w:rsidRPr="007917A1">
        <w:rPr>
          <w:rFonts w:ascii="Times New Roman" w:hAnsi="Times New Roman" w:cs="Times New Roman"/>
          <w:sz w:val="24"/>
          <w:szCs w:val="24"/>
          <w:lang w:val="en-US"/>
        </w:rPr>
        <w:t xml:space="preserve"> Is Financial Regulation Good or Bad for Real Estate Companies? – An Event Study. Swiss Finance Institute Research Paper</w:t>
      </w:r>
      <w:r w:rsidR="00323214" w:rsidRPr="007917A1">
        <w:rPr>
          <w:rFonts w:ascii="Times New Roman" w:hAnsi="Times New Roman" w:cs="Times New Roman"/>
          <w:sz w:val="24"/>
          <w:szCs w:val="24"/>
          <w:lang w:val="en-US"/>
        </w:rPr>
        <w:t>,</w:t>
      </w:r>
      <w:r w:rsidRPr="007917A1">
        <w:rPr>
          <w:rFonts w:ascii="Times New Roman" w:hAnsi="Times New Roman" w:cs="Times New Roman"/>
          <w:sz w:val="24"/>
          <w:szCs w:val="24"/>
          <w:lang w:val="en-US"/>
        </w:rPr>
        <w:t xml:space="preserve"> </w:t>
      </w:r>
      <w:r w:rsidR="00323214" w:rsidRPr="007917A1">
        <w:rPr>
          <w:rFonts w:ascii="Times New Roman" w:hAnsi="Times New Roman" w:cs="Times New Roman"/>
          <w:sz w:val="24"/>
          <w:szCs w:val="24"/>
          <w:lang w:val="en-US"/>
        </w:rPr>
        <w:t>n</w:t>
      </w:r>
      <w:r w:rsidRPr="007917A1">
        <w:rPr>
          <w:rFonts w:ascii="Times New Roman" w:hAnsi="Times New Roman" w:cs="Times New Roman"/>
          <w:sz w:val="24"/>
          <w:szCs w:val="24"/>
          <w:lang w:val="en-US"/>
        </w:rPr>
        <w:t xml:space="preserve">o. 16-20. </w:t>
      </w:r>
      <w:proofErr w:type="spellStart"/>
      <w:r w:rsidRPr="007917A1">
        <w:rPr>
          <w:rFonts w:ascii="Times New Roman" w:hAnsi="Times New Roman" w:cs="Times New Roman"/>
          <w:sz w:val="24"/>
          <w:szCs w:val="24"/>
          <w:lang w:val="en-US"/>
        </w:rPr>
        <w:t>doi</w:t>
      </w:r>
      <w:proofErr w:type="spellEnd"/>
      <w:r w:rsidRPr="007917A1">
        <w:rPr>
          <w:rFonts w:ascii="Times New Roman" w:hAnsi="Times New Roman" w:cs="Times New Roman"/>
          <w:sz w:val="24"/>
          <w:szCs w:val="24"/>
          <w:lang w:val="en-US"/>
        </w:rPr>
        <w:t>: 10.1007/s11146-017-9634-z</w:t>
      </w:r>
    </w:p>
    <w:p w:rsidR="00D406C5" w:rsidRPr="007917A1" w:rsidRDefault="00D406C5" w:rsidP="003A5732">
      <w:pPr>
        <w:pStyle w:val="a5"/>
        <w:numPr>
          <w:ilvl w:val="0"/>
          <w:numId w:val="42"/>
        </w:numPr>
        <w:spacing w:line="360" w:lineRule="auto"/>
        <w:ind w:left="426" w:hanging="426"/>
        <w:jc w:val="both"/>
        <w:rPr>
          <w:rFonts w:ascii="Times New Roman" w:hAnsi="Times New Roman" w:cs="Times New Roman"/>
          <w:sz w:val="24"/>
          <w:szCs w:val="24"/>
          <w:lang w:val="en-US"/>
        </w:rPr>
      </w:pPr>
      <w:r w:rsidRPr="007917A1">
        <w:rPr>
          <w:rFonts w:ascii="Times New Roman" w:hAnsi="Times New Roman" w:cs="Times New Roman"/>
          <w:i/>
          <w:sz w:val="24"/>
          <w:szCs w:val="24"/>
          <w:lang w:val="en-US"/>
        </w:rPr>
        <w:t xml:space="preserve">Ferrari S., </w:t>
      </w:r>
      <w:proofErr w:type="spellStart"/>
      <w:r w:rsidRPr="007917A1">
        <w:rPr>
          <w:rFonts w:ascii="Times New Roman" w:hAnsi="Times New Roman" w:cs="Times New Roman"/>
          <w:i/>
          <w:sz w:val="24"/>
          <w:szCs w:val="24"/>
          <w:lang w:val="en-US"/>
        </w:rPr>
        <w:t>Pirovano</w:t>
      </w:r>
      <w:proofErr w:type="spellEnd"/>
      <w:r w:rsidRPr="007917A1">
        <w:rPr>
          <w:rFonts w:ascii="Times New Roman" w:hAnsi="Times New Roman" w:cs="Times New Roman"/>
          <w:i/>
          <w:sz w:val="24"/>
          <w:szCs w:val="24"/>
          <w:lang w:val="en-US"/>
        </w:rPr>
        <w:t xml:space="preserve"> M., </w:t>
      </w:r>
      <w:proofErr w:type="spellStart"/>
      <w:r w:rsidRPr="007917A1">
        <w:rPr>
          <w:rFonts w:ascii="Times New Roman" w:hAnsi="Times New Roman" w:cs="Times New Roman"/>
          <w:i/>
          <w:sz w:val="24"/>
          <w:szCs w:val="24"/>
          <w:lang w:val="en-US"/>
        </w:rPr>
        <w:t>Kaltwasser</w:t>
      </w:r>
      <w:proofErr w:type="spellEnd"/>
      <w:r w:rsidRPr="007917A1">
        <w:rPr>
          <w:rFonts w:ascii="Times New Roman" w:hAnsi="Times New Roman" w:cs="Times New Roman"/>
          <w:i/>
          <w:sz w:val="24"/>
          <w:szCs w:val="24"/>
          <w:lang w:val="en-US"/>
        </w:rPr>
        <w:t xml:space="preserve"> P.R.</w:t>
      </w:r>
      <w:r w:rsidRPr="007917A1">
        <w:rPr>
          <w:rFonts w:ascii="Times New Roman" w:hAnsi="Times New Roman" w:cs="Times New Roman"/>
          <w:sz w:val="24"/>
          <w:szCs w:val="24"/>
          <w:lang w:val="en-US"/>
        </w:rPr>
        <w:t xml:space="preserve"> Systemic risk, macroprudential policy, bank capital requirements, real estate. Working Paper Research 306, National Bank of Belgium.</w:t>
      </w:r>
    </w:p>
    <w:p w:rsidR="00D406C5" w:rsidRPr="007917A1" w:rsidRDefault="00D406C5" w:rsidP="003A5732">
      <w:pPr>
        <w:pStyle w:val="a5"/>
        <w:numPr>
          <w:ilvl w:val="0"/>
          <w:numId w:val="42"/>
        </w:numPr>
        <w:spacing w:line="360" w:lineRule="auto"/>
        <w:ind w:left="426" w:hanging="426"/>
        <w:jc w:val="both"/>
        <w:rPr>
          <w:rFonts w:ascii="Times New Roman" w:hAnsi="Times New Roman" w:cs="Times New Roman"/>
          <w:sz w:val="24"/>
          <w:szCs w:val="24"/>
          <w:lang w:val="en-US"/>
        </w:rPr>
      </w:pPr>
      <w:proofErr w:type="spellStart"/>
      <w:r w:rsidRPr="007917A1">
        <w:rPr>
          <w:rFonts w:ascii="Times New Roman" w:hAnsi="Times New Roman" w:cs="Times New Roman"/>
          <w:i/>
          <w:sz w:val="24"/>
          <w:szCs w:val="24"/>
          <w:lang w:val="en-US"/>
        </w:rPr>
        <w:t>Fedotova</w:t>
      </w:r>
      <w:proofErr w:type="spellEnd"/>
      <w:r w:rsidRPr="007917A1">
        <w:rPr>
          <w:rFonts w:ascii="Times New Roman" w:hAnsi="Times New Roman" w:cs="Times New Roman"/>
          <w:i/>
          <w:sz w:val="24"/>
          <w:szCs w:val="24"/>
          <w:lang w:val="en-US"/>
        </w:rPr>
        <w:t xml:space="preserve"> M.A., Sternik S.G., </w:t>
      </w:r>
      <w:proofErr w:type="spellStart"/>
      <w:r w:rsidRPr="007917A1">
        <w:rPr>
          <w:rFonts w:ascii="Times New Roman" w:hAnsi="Times New Roman" w:cs="Times New Roman"/>
          <w:i/>
          <w:sz w:val="24"/>
          <w:szCs w:val="24"/>
          <w:lang w:val="en-US"/>
        </w:rPr>
        <w:t>Latkin</w:t>
      </w:r>
      <w:proofErr w:type="spellEnd"/>
      <w:r w:rsidRPr="007917A1">
        <w:rPr>
          <w:rFonts w:ascii="Times New Roman" w:hAnsi="Times New Roman" w:cs="Times New Roman"/>
          <w:i/>
          <w:sz w:val="24"/>
          <w:szCs w:val="24"/>
          <w:lang w:val="en-US"/>
        </w:rPr>
        <w:t xml:space="preserve"> F.A. </w:t>
      </w:r>
      <w:r w:rsidRPr="007917A1">
        <w:rPr>
          <w:rFonts w:ascii="Times New Roman" w:hAnsi="Times New Roman" w:cs="Times New Roman"/>
          <w:sz w:val="24"/>
          <w:szCs w:val="24"/>
          <w:lang w:val="en-US"/>
        </w:rPr>
        <w:t>[Current problems of corporate real estate portfolio valuation</w:t>
      </w:r>
      <w:r w:rsidR="007D1A5D" w:rsidRPr="007917A1">
        <w:rPr>
          <w:rFonts w:ascii="Times New Roman" w:hAnsi="Times New Roman" w:cs="Times New Roman"/>
          <w:sz w:val="24"/>
          <w:szCs w:val="24"/>
          <w:lang w:val="en-US"/>
        </w:rPr>
        <w:t>]</w:t>
      </w:r>
      <w:r w:rsidRPr="007917A1">
        <w:rPr>
          <w:rFonts w:ascii="Times New Roman" w:hAnsi="Times New Roman" w:cs="Times New Roman"/>
          <w:sz w:val="24"/>
          <w:szCs w:val="24"/>
          <w:lang w:val="en-US"/>
        </w:rPr>
        <w:t xml:space="preserve">. Property Relations in the Russian </w:t>
      </w:r>
      <w:proofErr w:type="gramStart"/>
      <w:r w:rsidRPr="007917A1">
        <w:rPr>
          <w:rFonts w:ascii="Times New Roman" w:hAnsi="Times New Roman" w:cs="Times New Roman"/>
          <w:sz w:val="24"/>
          <w:szCs w:val="24"/>
          <w:lang w:val="en-US"/>
        </w:rPr>
        <w:t>Federation</w:t>
      </w:r>
      <w:r w:rsidR="007D1A5D" w:rsidRPr="007917A1">
        <w:rPr>
          <w:rFonts w:ascii="Times New Roman" w:hAnsi="Times New Roman" w:cs="Times New Roman"/>
          <w:sz w:val="24"/>
          <w:szCs w:val="24"/>
          <w:lang w:val="en-US"/>
        </w:rPr>
        <w:t>,</w:t>
      </w:r>
      <w:r w:rsidRPr="007917A1">
        <w:rPr>
          <w:rFonts w:ascii="Times New Roman" w:hAnsi="Times New Roman" w:cs="Times New Roman"/>
          <w:sz w:val="24"/>
          <w:szCs w:val="24"/>
          <w:lang w:val="en-US"/>
        </w:rPr>
        <w:t xml:space="preserve">  </w:t>
      </w:r>
      <w:r w:rsidR="007D1A5D" w:rsidRPr="007917A1">
        <w:rPr>
          <w:rFonts w:ascii="Times New Roman" w:hAnsi="Times New Roman" w:cs="Times New Roman"/>
          <w:sz w:val="24"/>
          <w:szCs w:val="24"/>
          <w:lang w:val="en-US"/>
        </w:rPr>
        <w:t>2017</w:t>
      </w:r>
      <w:proofErr w:type="gramEnd"/>
      <w:r w:rsidR="007D1A5D" w:rsidRPr="007917A1">
        <w:rPr>
          <w:rFonts w:ascii="Times New Roman" w:hAnsi="Times New Roman" w:cs="Times New Roman"/>
          <w:sz w:val="24"/>
          <w:szCs w:val="24"/>
          <w:lang w:val="en-US"/>
        </w:rPr>
        <w:t xml:space="preserve">, </w:t>
      </w:r>
      <w:r w:rsidR="00DC3454" w:rsidRPr="007917A1">
        <w:rPr>
          <w:rFonts w:ascii="Times New Roman" w:hAnsi="Times New Roman" w:cs="Times New Roman"/>
          <w:sz w:val="24"/>
          <w:szCs w:val="24"/>
          <w:lang w:val="en-US"/>
        </w:rPr>
        <w:t>n</w:t>
      </w:r>
      <w:r w:rsidRPr="007917A1">
        <w:rPr>
          <w:rFonts w:ascii="Times New Roman" w:hAnsi="Times New Roman" w:cs="Times New Roman"/>
          <w:sz w:val="24"/>
          <w:szCs w:val="24"/>
          <w:lang w:val="en-US"/>
        </w:rPr>
        <w:t>o</w:t>
      </w:r>
      <w:r w:rsidR="00DC3454" w:rsidRPr="007917A1">
        <w:rPr>
          <w:rFonts w:ascii="Times New Roman" w:hAnsi="Times New Roman" w:cs="Times New Roman"/>
          <w:sz w:val="24"/>
          <w:szCs w:val="24"/>
          <w:lang w:val="en-US"/>
        </w:rPr>
        <w:t>.</w:t>
      </w:r>
      <w:r w:rsidRPr="007917A1">
        <w:rPr>
          <w:rFonts w:ascii="Times New Roman" w:hAnsi="Times New Roman" w:cs="Times New Roman"/>
          <w:sz w:val="24"/>
          <w:szCs w:val="24"/>
          <w:lang w:val="en-US"/>
        </w:rPr>
        <w:t xml:space="preserve"> 1 (184)</w:t>
      </w:r>
      <w:r w:rsidR="007D1A5D" w:rsidRPr="007917A1">
        <w:rPr>
          <w:rFonts w:ascii="Times New Roman" w:hAnsi="Times New Roman" w:cs="Times New Roman"/>
          <w:sz w:val="24"/>
          <w:szCs w:val="24"/>
          <w:lang w:val="en-US"/>
        </w:rPr>
        <w:t>,</w:t>
      </w:r>
      <w:r w:rsidRPr="007917A1">
        <w:rPr>
          <w:rFonts w:ascii="Times New Roman" w:hAnsi="Times New Roman" w:cs="Times New Roman"/>
          <w:sz w:val="24"/>
          <w:szCs w:val="24"/>
          <w:lang w:val="en-US"/>
        </w:rPr>
        <w:t xml:space="preserve"> </w:t>
      </w:r>
      <w:r w:rsidR="00DC3454" w:rsidRPr="007917A1">
        <w:rPr>
          <w:rFonts w:ascii="Times New Roman" w:hAnsi="Times New Roman" w:cs="Times New Roman"/>
          <w:sz w:val="24"/>
          <w:szCs w:val="24"/>
          <w:lang w:val="en-US"/>
        </w:rPr>
        <w:t>pp</w:t>
      </w:r>
      <w:r w:rsidRPr="007917A1">
        <w:rPr>
          <w:rFonts w:ascii="Times New Roman" w:hAnsi="Times New Roman" w:cs="Times New Roman"/>
          <w:sz w:val="24"/>
          <w:szCs w:val="24"/>
          <w:lang w:val="en-US"/>
        </w:rPr>
        <w:t>.70-77</w:t>
      </w:r>
      <w:r w:rsidR="00DC3454" w:rsidRPr="007917A1">
        <w:rPr>
          <w:rFonts w:ascii="Times New Roman" w:hAnsi="Times New Roman" w:cs="Times New Roman"/>
          <w:sz w:val="24"/>
          <w:szCs w:val="24"/>
          <w:lang w:val="en-US"/>
        </w:rPr>
        <w:t xml:space="preserve"> (In Russ.)</w:t>
      </w:r>
    </w:p>
    <w:p w:rsidR="00D406C5" w:rsidRPr="007917A1" w:rsidRDefault="00D406C5" w:rsidP="003A5732">
      <w:pPr>
        <w:pStyle w:val="a5"/>
        <w:numPr>
          <w:ilvl w:val="0"/>
          <w:numId w:val="42"/>
        </w:numPr>
        <w:spacing w:line="360" w:lineRule="auto"/>
        <w:ind w:left="426" w:hanging="426"/>
        <w:jc w:val="both"/>
        <w:rPr>
          <w:rFonts w:ascii="Times New Roman" w:hAnsi="Times New Roman" w:cs="Times New Roman"/>
          <w:sz w:val="24"/>
          <w:szCs w:val="24"/>
          <w:lang w:val="en-US"/>
        </w:rPr>
      </w:pPr>
      <w:proofErr w:type="spellStart"/>
      <w:r w:rsidRPr="007917A1">
        <w:rPr>
          <w:rFonts w:ascii="Times New Roman" w:hAnsi="Times New Roman" w:cs="Times New Roman"/>
          <w:i/>
          <w:sz w:val="24"/>
          <w:szCs w:val="24"/>
          <w:lang w:val="en-US"/>
        </w:rPr>
        <w:t>Igan</w:t>
      </w:r>
      <w:proofErr w:type="spellEnd"/>
      <w:r w:rsidRPr="007917A1">
        <w:rPr>
          <w:rFonts w:ascii="Times New Roman" w:hAnsi="Times New Roman" w:cs="Times New Roman"/>
          <w:i/>
          <w:sz w:val="24"/>
          <w:szCs w:val="24"/>
          <w:lang w:val="en-US"/>
        </w:rPr>
        <w:t xml:space="preserve"> D.</w:t>
      </w:r>
      <w:r w:rsidRPr="007917A1">
        <w:rPr>
          <w:rFonts w:ascii="Times New Roman" w:hAnsi="Times New Roman" w:cs="Times New Roman"/>
          <w:sz w:val="24"/>
          <w:szCs w:val="24"/>
          <w:lang w:val="en-US"/>
        </w:rPr>
        <w:t xml:space="preserve"> Dealing with real estate booms and busts. BIS Papers, No 64 Property markets and financial stability. pp. 59-67. Available at: https://www.bis.org/publ/bppdf/bispap64.pdf</w:t>
      </w:r>
    </w:p>
    <w:p w:rsidR="00D406C5" w:rsidRPr="007917A1" w:rsidRDefault="00D406C5" w:rsidP="003A5732">
      <w:pPr>
        <w:pStyle w:val="a5"/>
        <w:numPr>
          <w:ilvl w:val="0"/>
          <w:numId w:val="42"/>
        </w:numPr>
        <w:spacing w:line="360" w:lineRule="auto"/>
        <w:ind w:left="426" w:hanging="426"/>
        <w:jc w:val="both"/>
        <w:rPr>
          <w:rFonts w:ascii="Times New Roman" w:hAnsi="Times New Roman" w:cs="Times New Roman"/>
          <w:sz w:val="24"/>
          <w:szCs w:val="24"/>
          <w:lang w:val="en-US"/>
        </w:rPr>
      </w:pPr>
      <w:r w:rsidRPr="007917A1">
        <w:rPr>
          <w:rFonts w:ascii="Times New Roman" w:hAnsi="Times New Roman" w:cs="Times New Roman"/>
          <w:i/>
          <w:sz w:val="24"/>
          <w:szCs w:val="24"/>
          <w:lang w:val="en-US"/>
        </w:rPr>
        <w:t xml:space="preserve">Barrell, R., Davis, E.P., Karim, D. and </w:t>
      </w:r>
      <w:proofErr w:type="spellStart"/>
      <w:r w:rsidRPr="007917A1">
        <w:rPr>
          <w:rFonts w:ascii="Times New Roman" w:hAnsi="Times New Roman" w:cs="Times New Roman"/>
          <w:i/>
          <w:sz w:val="24"/>
          <w:szCs w:val="24"/>
          <w:lang w:val="en-US"/>
        </w:rPr>
        <w:t>Liadze</w:t>
      </w:r>
      <w:proofErr w:type="spellEnd"/>
      <w:r w:rsidRPr="007917A1">
        <w:rPr>
          <w:rFonts w:ascii="Times New Roman" w:hAnsi="Times New Roman" w:cs="Times New Roman"/>
          <w:i/>
          <w:sz w:val="24"/>
          <w:szCs w:val="24"/>
          <w:lang w:val="en-US"/>
        </w:rPr>
        <w:t xml:space="preserve"> I.</w:t>
      </w:r>
      <w:r w:rsidRPr="007917A1">
        <w:rPr>
          <w:rFonts w:ascii="Times New Roman" w:hAnsi="Times New Roman" w:cs="Times New Roman"/>
          <w:sz w:val="24"/>
          <w:szCs w:val="24"/>
          <w:lang w:val="en-US"/>
        </w:rPr>
        <w:t xml:space="preserve"> Calibrating </w:t>
      </w:r>
      <w:proofErr w:type="spellStart"/>
      <w:r w:rsidRPr="007917A1">
        <w:rPr>
          <w:rFonts w:ascii="Times New Roman" w:hAnsi="Times New Roman" w:cs="Times New Roman"/>
          <w:sz w:val="24"/>
          <w:szCs w:val="24"/>
          <w:lang w:val="en-US"/>
        </w:rPr>
        <w:t>macropduential</w:t>
      </w:r>
      <w:proofErr w:type="spellEnd"/>
      <w:r w:rsidRPr="007917A1">
        <w:rPr>
          <w:rFonts w:ascii="Times New Roman" w:hAnsi="Times New Roman" w:cs="Times New Roman"/>
          <w:sz w:val="24"/>
          <w:szCs w:val="24"/>
          <w:lang w:val="en-US"/>
        </w:rPr>
        <w:t xml:space="preserve"> policy. Working Paper 2017-17. Federal Reserve Bank of San Francisco Working Paper 2017-17. </w:t>
      </w:r>
      <w:hyperlink r:id="rId16" w:history="1">
        <w:proofErr w:type="spellStart"/>
        <w:r w:rsidRPr="007917A1">
          <w:rPr>
            <w:rFonts w:ascii="Times New Roman" w:hAnsi="Times New Roman" w:cs="Times New Roman"/>
            <w:sz w:val="24"/>
            <w:szCs w:val="24"/>
            <w:lang w:val="en-US"/>
          </w:rPr>
          <w:t>doi</w:t>
        </w:r>
        <w:proofErr w:type="spellEnd"/>
        <w:r w:rsidRPr="007917A1">
          <w:rPr>
            <w:rFonts w:ascii="Times New Roman" w:hAnsi="Times New Roman" w:cs="Times New Roman"/>
            <w:sz w:val="24"/>
            <w:szCs w:val="24"/>
            <w:lang w:val="en-US"/>
          </w:rPr>
          <w:t>: 10.24148/wp2017-17</w:t>
        </w:r>
      </w:hyperlink>
    </w:p>
    <w:p w:rsidR="00D406C5" w:rsidRPr="007917A1" w:rsidRDefault="00D406C5" w:rsidP="003A5732">
      <w:pPr>
        <w:pStyle w:val="a5"/>
        <w:numPr>
          <w:ilvl w:val="0"/>
          <w:numId w:val="42"/>
        </w:numPr>
        <w:spacing w:line="360" w:lineRule="auto"/>
        <w:ind w:left="426" w:hanging="426"/>
        <w:jc w:val="both"/>
        <w:rPr>
          <w:rFonts w:ascii="Times New Roman" w:hAnsi="Times New Roman" w:cs="Times New Roman"/>
          <w:sz w:val="24"/>
          <w:szCs w:val="24"/>
          <w:lang w:val="en-US"/>
        </w:rPr>
      </w:pPr>
      <w:r w:rsidRPr="007917A1">
        <w:rPr>
          <w:rFonts w:ascii="Times New Roman" w:hAnsi="Times New Roman" w:cs="Times New Roman"/>
          <w:i/>
          <w:sz w:val="24"/>
          <w:szCs w:val="24"/>
          <w:lang w:val="en-US"/>
        </w:rPr>
        <w:t xml:space="preserve">Barrell R., Davis P., Karim D., </w:t>
      </w:r>
      <w:proofErr w:type="spellStart"/>
      <w:r w:rsidRPr="007917A1">
        <w:rPr>
          <w:rFonts w:ascii="Times New Roman" w:hAnsi="Times New Roman" w:cs="Times New Roman"/>
          <w:i/>
          <w:sz w:val="24"/>
          <w:szCs w:val="24"/>
          <w:lang w:val="en-US"/>
        </w:rPr>
        <w:t>Liadze</w:t>
      </w:r>
      <w:proofErr w:type="spellEnd"/>
      <w:r w:rsidRPr="007917A1">
        <w:rPr>
          <w:rFonts w:ascii="Times New Roman" w:hAnsi="Times New Roman" w:cs="Times New Roman"/>
          <w:i/>
          <w:sz w:val="24"/>
          <w:szCs w:val="24"/>
          <w:lang w:val="en-US"/>
        </w:rPr>
        <w:t xml:space="preserve"> I.</w:t>
      </w:r>
      <w:r w:rsidRPr="007917A1">
        <w:rPr>
          <w:rFonts w:ascii="Times New Roman" w:hAnsi="Times New Roman" w:cs="Times New Roman"/>
          <w:sz w:val="24"/>
          <w:szCs w:val="24"/>
          <w:lang w:val="en-US"/>
        </w:rPr>
        <w:t xml:space="preserve"> Bank and regulation, property prices and early warning systems for banking crises in OECD. Available at: http://www.niesr.ac.uk/sites/default/files/publications/310309_111955.pdf </w:t>
      </w:r>
    </w:p>
    <w:p w:rsidR="00D406C5" w:rsidRPr="007917A1" w:rsidRDefault="00D406C5" w:rsidP="003A5732">
      <w:pPr>
        <w:pStyle w:val="a5"/>
        <w:numPr>
          <w:ilvl w:val="0"/>
          <w:numId w:val="42"/>
        </w:numPr>
        <w:spacing w:line="360" w:lineRule="auto"/>
        <w:ind w:left="426" w:hanging="426"/>
        <w:jc w:val="both"/>
        <w:rPr>
          <w:rFonts w:ascii="Times New Roman" w:hAnsi="Times New Roman" w:cs="Times New Roman"/>
          <w:sz w:val="24"/>
          <w:szCs w:val="24"/>
          <w:lang w:val="en-US"/>
        </w:rPr>
      </w:pPr>
      <w:r w:rsidRPr="007917A1">
        <w:rPr>
          <w:rFonts w:ascii="Times New Roman" w:hAnsi="Times New Roman" w:cs="Times New Roman"/>
          <w:i/>
          <w:sz w:val="24"/>
          <w:szCs w:val="24"/>
          <w:lang w:val="en-US"/>
        </w:rPr>
        <w:t>Carmen M. Reinhart &amp; Kenneth S. Rogoff</w:t>
      </w:r>
      <w:r w:rsidRPr="007917A1">
        <w:rPr>
          <w:lang w:val="en-US"/>
        </w:rPr>
        <w:t xml:space="preserve">. </w:t>
      </w:r>
      <w:r w:rsidRPr="007917A1">
        <w:rPr>
          <w:rFonts w:ascii="Times New Roman" w:hAnsi="Times New Roman" w:cs="Times New Roman"/>
          <w:sz w:val="24"/>
          <w:szCs w:val="24"/>
          <w:lang w:val="en-US"/>
        </w:rPr>
        <w:t>This Time Is Different – Eight Centuries of Financial Folly. Princeton University Press</w:t>
      </w:r>
      <w:r w:rsidRPr="007917A1">
        <w:rPr>
          <w:rFonts w:ascii="Times New Roman" w:hAnsi="Times New Roman" w:cs="Times New Roman"/>
          <w:sz w:val="24"/>
          <w:szCs w:val="24"/>
        </w:rPr>
        <w:t>.</w:t>
      </w:r>
      <w:r w:rsidRPr="007917A1">
        <w:rPr>
          <w:rFonts w:ascii="Times New Roman" w:hAnsi="Times New Roman" w:cs="Times New Roman"/>
          <w:sz w:val="24"/>
          <w:szCs w:val="24"/>
          <w:lang w:val="en-US"/>
        </w:rPr>
        <w:t xml:space="preserve"> 2009</w:t>
      </w:r>
      <w:r w:rsidRPr="007917A1">
        <w:rPr>
          <w:rFonts w:ascii="Times New Roman" w:hAnsi="Times New Roman" w:cs="Times New Roman"/>
          <w:sz w:val="24"/>
          <w:szCs w:val="24"/>
        </w:rPr>
        <w:t>.</w:t>
      </w:r>
      <w:r w:rsidRPr="007917A1">
        <w:rPr>
          <w:rFonts w:ascii="Times New Roman" w:hAnsi="Times New Roman" w:cs="Times New Roman"/>
          <w:sz w:val="24"/>
          <w:szCs w:val="24"/>
          <w:lang w:val="en-US"/>
        </w:rPr>
        <w:t xml:space="preserve"> 496 </w:t>
      </w:r>
      <w:r w:rsidR="00AE04DC" w:rsidRPr="007917A1">
        <w:rPr>
          <w:rFonts w:ascii="Times New Roman" w:hAnsi="Times New Roman" w:cs="Times New Roman"/>
          <w:sz w:val="24"/>
          <w:szCs w:val="24"/>
          <w:lang w:val="en-US"/>
        </w:rPr>
        <w:t>p</w:t>
      </w:r>
      <w:r w:rsidRPr="007917A1">
        <w:rPr>
          <w:rFonts w:ascii="Times New Roman" w:hAnsi="Times New Roman" w:cs="Times New Roman"/>
          <w:sz w:val="24"/>
          <w:szCs w:val="24"/>
        </w:rPr>
        <w:t>.</w:t>
      </w:r>
    </w:p>
    <w:p w:rsidR="00D406C5" w:rsidRPr="007917A1" w:rsidRDefault="00D406C5" w:rsidP="003A5732">
      <w:pPr>
        <w:pStyle w:val="a5"/>
        <w:numPr>
          <w:ilvl w:val="0"/>
          <w:numId w:val="42"/>
        </w:numPr>
        <w:spacing w:line="360" w:lineRule="auto"/>
        <w:ind w:left="426" w:hanging="426"/>
        <w:jc w:val="both"/>
        <w:rPr>
          <w:rFonts w:ascii="Times New Roman" w:hAnsi="Times New Roman" w:cs="Times New Roman"/>
          <w:sz w:val="24"/>
          <w:szCs w:val="24"/>
          <w:lang w:val="en-US"/>
        </w:rPr>
      </w:pPr>
      <w:proofErr w:type="spellStart"/>
      <w:r w:rsidRPr="007917A1">
        <w:rPr>
          <w:rFonts w:ascii="Times New Roman" w:hAnsi="Times New Roman" w:cs="Times New Roman"/>
          <w:i/>
          <w:sz w:val="24"/>
          <w:szCs w:val="24"/>
          <w:lang w:val="en-US"/>
        </w:rPr>
        <w:lastRenderedPageBreak/>
        <w:t>Mian</w:t>
      </w:r>
      <w:proofErr w:type="spellEnd"/>
      <w:r w:rsidRPr="007917A1">
        <w:rPr>
          <w:rFonts w:ascii="Times New Roman" w:hAnsi="Times New Roman" w:cs="Times New Roman"/>
          <w:i/>
          <w:sz w:val="24"/>
          <w:szCs w:val="24"/>
          <w:lang w:val="en-US"/>
        </w:rPr>
        <w:t xml:space="preserve"> a., Sufi A</w:t>
      </w:r>
      <w:r w:rsidRPr="007917A1">
        <w:rPr>
          <w:rFonts w:ascii="Times New Roman" w:hAnsi="Times New Roman" w:cs="Times New Roman"/>
          <w:sz w:val="24"/>
          <w:szCs w:val="24"/>
          <w:lang w:val="en-US"/>
        </w:rPr>
        <w:t xml:space="preserve">. Household Leverage and the Recession of 2007 to 2009. Paper presented at the 10th Jacques </w:t>
      </w:r>
      <w:proofErr w:type="spellStart"/>
      <w:r w:rsidRPr="007917A1">
        <w:rPr>
          <w:rFonts w:ascii="Times New Roman" w:hAnsi="Times New Roman" w:cs="Times New Roman"/>
          <w:sz w:val="24"/>
          <w:szCs w:val="24"/>
          <w:lang w:val="en-US"/>
        </w:rPr>
        <w:t>Polak</w:t>
      </w:r>
      <w:proofErr w:type="spellEnd"/>
      <w:r w:rsidRPr="007917A1">
        <w:rPr>
          <w:rFonts w:ascii="Times New Roman" w:hAnsi="Times New Roman" w:cs="Times New Roman"/>
          <w:sz w:val="24"/>
          <w:szCs w:val="24"/>
          <w:lang w:val="en-US"/>
        </w:rPr>
        <w:t xml:space="preserve"> Annual Research Conference Hosted by the International Monetary Fund Washington, </w:t>
      </w:r>
      <w:proofErr w:type="spellStart"/>
      <w:r w:rsidRPr="007917A1">
        <w:rPr>
          <w:rFonts w:ascii="Times New Roman" w:hAnsi="Times New Roman" w:cs="Times New Roman"/>
          <w:sz w:val="24"/>
          <w:szCs w:val="24"/>
          <w:lang w:val="en-US"/>
        </w:rPr>
        <w:t>DC─November</w:t>
      </w:r>
      <w:proofErr w:type="spellEnd"/>
      <w:r w:rsidRPr="007917A1">
        <w:rPr>
          <w:rFonts w:ascii="Times New Roman" w:hAnsi="Times New Roman" w:cs="Times New Roman"/>
          <w:sz w:val="24"/>
          <w:szCs w:val="24"/>
          <w:lang w:val="en-US"/>
        </w:rPr>
        <w:t xml:space="preserve"> 5–6, 2009.</w:t>
      </w:r>
    </w:p>
    <w:p w:rsidR="00D406C5" w:rsidRPr="007917A1" w:rsidRDefault="00D406C5" w:rsidP="003A5732">
      <w:pPr>
        <w:pStyle w:val="a5"/>
        <w:numPr>
          <w:ilvl w:val="0"/>
          <w:numId w:val="42"/>
        </w:numPr>
        <w:spacing w:line="360" w:lineRule="auto"/>
        <w:ind w:left="426" w:hanging="426"/>
        <w:jc w:val="both"/>
        <w:rPr>
          <w:rFonts w:ascii="Times New Roman" w:hAnsi="Times New Roman" w:cs="Times New Roman"/>
          <w:sz w:val="24"/>
          <w:szCs w:val="24"/>
          <w:lang w:val="en-US"/>
        </w:rPr>
      </w:pPr>
      <w:r w:rsidRPr="007917A1">
        <w:rPr>
          <w:rFonts w:ascii="Times New Roman" w:hAnsi="Times New Roman" w:cs="Times New Roman"/>
          <w:i/>
          <w:sz w:val="24"/>
          <w:szCs w:val="24"/>
          <w:lang w:val="en-US"/>
        </w:rPr>
        <w:t>Zhu. H.</w:t>
      </w:r>
      <w:r w:rsidRPr="007917A1">
        <w:rPr>
          <w:lang w:val="en-US"/>
        </w:rPr>
        <w:t xml:space="preserve"> </w:t>
      </w:r>
      <w:r w:rsidRPr="007917A1">
        <w:rPr>
          <w:rFonts w:ascii="Times New Roman" w:hAnsi="Times New Roman" w:cs="Times New Roman"/>
          <w:sz w:val="24"/>
          <w:szCs w:val="24"/>
          <w:lang w:val="en-US"/>
        </w:rPr>
        <w:t>The importance of property markets for monetary policy and financial stability. BIS Papers No. 21. pp. 9-19. Available at: https://www.bis.org/publ/bppdf/bispap21.pdf</w:t>
      </w:r>
    </w:p>
    <w:p w:rsidR="00D406C5" w:rsidRPr="007917A1" w:rsidRDefault="00DC3454" w:rsidP="003A5732">
      <w:pPr>
        <w:pStyle w:val="a5"/>
        <w:numPr>
          <w:ilvl w:val="0"/>
          <w:numId w:val="42"/>
        </w:numPr>
        <w:spacing w:line="360" w:lineRule="auto"/>
        <w:ind w:left="426" w:hanging="426"/>
        <w:jc w:val="both"/>
        <w:rPr>
          <w:rFonts w:ascii="Times New Roman" w:hAnsi="Times New Roman" w:cs="Times New Roman"/>
          <w:i/>
          <w:sz w:val="24"/>
          <w:szCs w:val="24"/>
          <w:lang w:val="en-US"/>
        </w:rPr>
      </w:pPr>
      <w:proofErr w:type="spellStart"/>
      <w:r w:rsidRPr="007917A1">
        <w:rPr>
          <w:rFonts w:ascii="Times New Roman" w:hAnsi="Times New Roman" w:cs="Times New Roman"/>
          <w:i/>
          <w:sz w:val="24"/>
          <w:szCs w:val="24"/>
          <w:lang w:val="en-US"/>
        </w:rPr>
        <w:t>Kotlyarov</w:t>
      </w:r>
      <w:proofErr w:type="spellEnd"/>
      <w:r w:rsidRPr="007917A1">
        <w:rPr>
          <w:rFonts w:ascii="Times New Roman" w:hAnsi="Times New Roman" w:cs="Times New Roman"/>
          <w:i/>
          <w:sz w:val="24"/>
          <w:szCs w:val="24"/>
          <w:lang w:val="en-US"/>
        </w:rPr>
        <w:t xml:space="preserve"> M.A. </w:t>
      </w:r>
      <w:r w:rsidRPr="007917A1">
        <w:rPr>
          <w:rFonts w:ascii="Times New Roman" w:hAnsi="Times New Roman" w:cs="Times New Roman"/>
          <w:sz w:val="24"/>
          <w:szCs w:val="24"/>
          <w:lang w:val="en-US"/>
        </w:rPr>
        <w:t>[Real estate market in facilitating financial system stability by the Central Bank]</w:t>
      </w:r>
      <w:r w:rsidR="00D406C5" w:rsidRPr="007917A1">
        <w:rPr>
          <w:rFonts w:ascii="Times New Roman" w:hAnsi="Times New Roman" w:cs="Times New Roman"/>
          <w:sz w:val="24"/>
          <w:szCs w:val="24"/>
          <w:lang w:val="en-US"/>
        </w:rPr>
        <w:t xml:space="preserve">. </w:t>
      </w:r>
      <w:proofErr w:type="spellStart"/>
      <w:r w:rsidRPr="007917A1">
        <w:rPr>
          <w:rFonts w:ascii="Times New Roman" w:hAnsi="Times New Roman" w:cs="Times New Roman"/>
          <w:i/>
          <w:sz w:val="24"/>
          <w:szCs w:val="24"/>
          <w:lang w:val="en-US"/>
        </w:rPr>
        <w:t>Finansovaya</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analitika</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problemy</w:t>
      </w:r>
      <w:proofErr w:type="spellEnd"/>
      <w:r w:rsidRPr="007917A1">
        <w:rPr>
          <w:rFonts w:ascii="Times New Roman" w:hAnsi="Times New Roman" w:cs="Times New Roman"/>
          <w:i/>
          <w:sz w:val="24"/>
          <w:szCs w:val="24"/>
          <w:lang w:val="en-US"/>
        </w:rPr>
        <w:t xml:space="preserve"> i </w:t>
      </w:r>
      <w:proofErr w:type="spellStart"/>
      <w:r w:rsidRPr="007917A1">
        <w:rPr>
          <w:rFonts w:ascii="Times New Roman" w:hAnsi="Times New Roman" w:cs="Times New Roman"/>
          <w:i/>
          <w:sz w:val="24"/>
          <w:szCs w:val="24"/>
          <w:lang w:val="en-US"/>
        </w:rPr>
        <w:t>resheniya</w:t>
      </w:r>
      <w:proofErr w:type="spellEnd"/>
      <w:r w:rsidRPr="007917A1">
        <w:rPr>
          <w:rFonts w:ascii="Times New Roman" w:hAnsi="Times New Roman" w:cs="Times New Roman"/>
          <w:i/>
          <w:sz w:val="24"/>
          <w:szCs w:val="24"/>
          <w:lang w:val="en-US"/>
        </w:rPr>
        <w:t xml:space="preserve"> = Financial analytics: problems and solutions</w:t>
      </w:r>
      <w:r w:rsidR="00D406C5" w:rsidRPr="007917A1">
        <w:rPr>
          <w:rFonts w:ascii="Times New Roman" w:hAnsi="Times New Roman" w:cs="Times New Roman"/>
          <w:sz w:val="24"/>
          <w:szCs w:val="24"/>
          <w:lang w:val="en-US"/>
        </w:rPr>
        <w:t xml:space="preserve">. </w:t>
      </w:r>
      <w:r w:rsidRPr="007917A1">
        <w:rPr>
          <w:rFonts w:ascii="Times New Roman" w:hAnsi="Times New Roman" w:cs="Times New Roman"/>
          <w:sz w:val="24"/>
          <w:szCs w:val="24"/>
          <w:lang w:val="en-US"/>
        </w:rPr>
        <w:t>vol</w:t>
      </w:r>
      <w:r w:rsidR="00D406C5" w:rsidRPr="007917A1">
        <w:rPr>
          <w:rFonts w:ascii="Times New Roman" w:hAnsi="Times New Roman" w:cs="Times New Roman"/>
          <w:sz w:val="24"/>
          <w:szCs w:val="24"/>
          <w:lang w:val="en-US"/>
        </w:rPr>
        <w:t xml:space="preserve">. 8, </w:t>
      </w:r>
      <w:r w:rsidRPr="007917A1">
        <w:rPr>
          <w:rFonts w:ascii="Times New Roman" w:hAnsi="Times New Roman" w:cs="Times New Roman"/>
          <w:sz w:val="24"/>
          <w:szCs w:val="24"/>
          <w:lang w:val="en-US"/>
        </w:rPr>
        <w:t>no.</w:t>
      </w:r>
      <w:r w:rsidR="00D406C5" w:rsidRPr="007917A1">
        <w:rPr>
          <w:rFonts w:ascii="Times New Roman" w:hAnsi="Times New Roman" w:cs="Times New Roman"/>
          <w:sz w:val="24"/>
          <w:szCs w:val="24"/>
          <w:lang w:val="en-US"/>
        </w:rPr>
        <w:t xml:space="preserve"> 39, 2015.</w:t>
      </w:r>
      <w:r w:rsidRPr="007917A1">
        <w:rPr>
          <w:rFonts w:ascii="Times New Roman" w:hAnsi="Times New Roman" w:cs="Times New Roman"/>
          <w:sz w:val="24"/>
          <w:szCs w:val="24"/>
          <w:lang w:val="en-US"/>
        </w:rPr>
        <w:t>,</w:t>
      </w:r>
      <w:r w:rsidR="00D406C5" w:rsidRPr="007917A1">
        <w:rPr>
          <w:rFonts w:ascii="Times New Roman" w:hAnsi="Times New Roman" w:cs="Times New Roman"/>
          <w:sz w:val="24"/>
          <w:szCs w:val="24"/>
          <w:lang w:val="en-US"/>
        </w:rPr>
        <w:t xml:space="preserve"> </w:t>
      </w:r>
      <w:r w:rsidRPr="007917A1">
        <w:rPr>
          <w:rFonts w:ascii="Times New Roman" w:hAnsi="Times New Roman" w:cs="Times New Roman"/>
          <w:sz w:val="24"/>
          <w:szCs w:val="24"/>
          <w:lang w:val="en-US"/>
        </w:rPr>
        <w:t>pp</w:t>
      </w:r>
      <w:r w:rsidR="00D406C5" w:rsidRPr="007917A1">
        <w:rPr>
          <w:rFonts w:ascii="Times New Roman" w:hAnsi="Times New Roman" w:cs="Times New Roman"/>
          <w:sz w:val="24"/>
          <w:szCs w:val="24"/>
          <w:lang w:val="en-US"/>
        </w:rPr>
        <w:t>.21-31</w:t>
      </w:r>
      <w:r w:rsidRPr="007917A1">
        <w:rPr>
          <w:rFonts w:ascii="Times New Roman" w:hAnsi="Times New Roman" w:cs="Times New Roman"/>
          <w:sz w:val="24"/>
          <w:szCs w:val="24"/>
          <w:lang w:val="en-US"/>
        </w:rPr>
        <w:t xml:space="preserve"> (In Russ.)</w:t>
      </w:r>
    </w:p>
    <w:p w:rsidR="00D406C5" w:rsidRPr="007917A1" w:rsidRDefault="00DC3454" w:rsidP="003A5732">
      <w:pPr>
        <w:pStyle w:val="a5"/>
        <w:numPr>
          <w:ilvl w:val="0"/>
          <w:numId w:val="42"/>
        </w:numPr>
        <w:spacing w:line="360" w:lineRule="auto"/>
        <w:ind w:left="426" w:hanging="426"/>
        <w:jc w:val="both"/>
        <w:rPr>
          <w:rFonts w:ascii="Times New Roman" w:hAnsi="Times New Roman" w:cs="Times New Roman"/>
          <w:sz w:val="24"/>
          <w:szCs w:val="24"/>
          <w:lang w:val="en-US"/>
        </w:rPr>
      </w:pPr>
      <w:proofErr w:type="spellStart"/>
      <w:r w:rsidRPr="007917A1">
        <w:rPr>
          <w:rFonts w:ascii="Times New Roman" w:hAnsi="Times New Roman" w:cs="Times New Roman"/>
          <w:i/>
          <w:sz w:val="24"/>
          <w:szCs w:val="24"/>
          <w:lang w:val="en-US"/>
        </w:rPr>
        <w:t>Koyka</w:t>
      </w:r>
      <w:proofErr w:type="spellEnd"/>
      <w:r w:rsidRPr="007917A1">
        <w:rPr>
          <w:rFonts w:ascii="Times New Roman" w:hAnsi="Times New Roman" w:cs="Times New Roman"/>
          <w:i/>
          <w:sz w:val="24"/>
          <w:szCs w:val="24"/>
          <w:lang w:val="en-US"/>
        </w:rPr>
        <w:t xml:space="preserve"> K.A.</w:t>
      </w:r>
      <w:r w:rsidR="00D406C5" w:rsidRPr="007917A1">
        <w:rPr>
          <w:rFonts w:ascii="Times New Roman" w:hAnsi="Times New Roman" w:cs="Times New Roman"/>
          <w:sz w:val="24"/>
          <w:szCs w:val="24"/>
          <w:lang w:val="en-US"/>
        </w:rPr>
        <w:t xml:space="preserve"> </w:t>
      </w:r>
      <w:r w:rsidRPr="007917A1">
        <w:rPr>
          <w:rFonts w:ascii="Times New Roman" w:hAnsi="Times New Roman" w:cs="Times New Roman"/>
          <w:sz w:val="24"/>
          <w:szCs w:val="24"/>
          <w:lang w:val="en-US"/>
        </w:rPr>
        <w:t>[Role of Central Bank in regulating consolidation processes in Russian banking sector]</w:t>
      </w:r>
      <w:r w:rsidR="00D406C5" w:rsidRPr="007917A1">
        <w:rPr>
          <w:rFonts w:ascii="Times New Roman" w:hAnsi="Times New Roman" w:cs="Times New Roman"/>
          <w:sz w:val="24"/>
          <w:szCs w:val="24"/>
          <w:lang w:val="en-US"/>
        </w:rPr>
        <w:t>.</w:t>
      </w:r>
      <w:r w:rsidR="0089543D" w:rsidRPr="007917A1">
        <w:rPr>
          <w:rFonts w:ascii="Times New Roman" w:hAnsi="Times New Roman" w:cs="Times New Roman"/>
          <w:sz w:val="24"/>
          <w:szCs w:val="24"/>
          <w:lang w:val="en-US"/>
        </w:rPr>
        <w:t xml:space="preserve"> </w:t>
      </w:r>
      <w:proofErr w:type="spellStart"/>
      <w:r w:rsidR="0089543D" w:rsidRPr="007917A1">
        <w:rPr>
          <w:rFonts w:ascii="Times New Roman" w:hAnsi="Times New Roman" w:cs="Times New Roman"/>
          <w:sz w:val="24"/>
          <w:szCs w:val="24"/>
          <w:lang w:val="en-US"/>
        </w:rPr>
        <w:t>Nauka</w:t>
      </w:r>
      <w:proofErr w:type="spellEnd"/>
      <w:r w:rsidR="0089543D" w:rsidRPr="007917A1">
        <w:rPr>
          <w:rFonts w:ascii="Times New Roman" w:hAnsi="Times New Roman" w:cs="Times New Roman"/>
          <w:sz w:val="24"/>
          <w:szCs w:val="24"/>
          <w:lang w:val="en-US"/>
        </w:rPr>
        <w:t xml:space="preserve"> i </w:t>
      </w:r>
      <w:proofErr w:type="spellStart"/>
      <w:r w:rsidR="0089543D" w:rsidRPr="007917A1">
        <w:rPr>
          <w:rFonts w:ascii="Times New Roman" w:hAnsi="Times New Roman" w:cs="Times New Roman"/>
          <w:sz w:val="24"/>
          <w:szCs w:val="24"/>
          <w:lang w:val="en-US"/>
        </w:rPr>
        <w:t>biznes</w:t>
      </w:r>
      <w:proofErr w:type="spellEnd"/>
      <w:r w:rsidR="0089543D" w:rsidRPr="007917A1">
        <w:rPr>
          <w:rFonts w:ascii="Times New Roman" w:hAnsi="Times New Roman" w:cs="Times New Roman"/>
          <w:sz w:val="24"/>
          <w:szCs w:val="24"/>
          <w:lang w:val="en-US"/>
        </w:rPr>
        <w:t xml:space="preserve">: </w:t>
      </w:r>
      <w:proofErr w:type="spellStart"/>
      <w:r w:rsidR="0089543D" w:rsidRPr="007917A1">
        <w:rPr>
          <w:rFonts w:ascii="Times New Roman" w:hAnsi="Times New Roman" w:cs="Times New Roman"/>
          <w:sz w:val="24"/>
          <w:szCs w:val="24"/>
          <w:lang w:val="en-US"/>
        </w:rPr>
        <w:t>puti</w:t>
      </w:r>
      <w:proofErr w:type="spellEnd"/>
      <w:r w:rsidR="0089543D" w:rsidRPr="007917A1">
        <w:rPr>
          <w:rFonts w:ascii="Times New Roman" w:hAnsi="Times New Roman" w:cs="Times New Roman"/>
          <w:sz w:val="24"/>
          <w:szCs w:val="24"/>
          <w:lang w:val="en-US"/>
        </w:rPr>
        <w:t xml:space="preserve"> </w:t>
      </w:r>
      <w:proofErr w:type="spellStart"/>
      <w:r w:rsidR="0089543D" w:rsidRPr="007917A1">
        <w:rPr>
          <w:rFonts w:ascii="Times New Roman" w:hAnsi="Times New Roman" w:cs="Times New Roman"/>
          <w:sz w:val="24"/>
          <w:szCs w:val="24"/>
          <w:lang w:val="en-US"/>
        </w:rPr>
        <w:t>razvitija</w:t>
      </w:r>
      <w:proofErr w:type="spellEnd"/>
      <w:r w:rsidR="0089543D" w:rsidRPr="007917A1">
        <w:rPr>
          <w:rFonts w:ascii="Times New Roman" w:hAnsi="Times New Roman" w:cs="Times New Roman"/>
          <w:sz w:val="24"/>
          <w:szCs w:val="24"/>
          <w:lang w:val="en-US"/>
        </w:rPr>
        <w:t xml:space="preserve"> = Science and business: paths of development</w:t>
      </w:r>
      <w:r w:rsidR="00D406C5" w:rsidRPr="007917A1">
        <w:rPr>
          <w:rFonts w:ascii="Times New Roman" w:hAnsi="Times New Roman" w:cs="Times New Roman"/>
          <w:sz w:val="24"/>
          <w:szCs w:val="24"/>
          <w:lang w:val="en-US"/>
        </w:rPr>
        <w:t xml:space="preserve">, </w:t>
      </w:r>
      <w:r w:rsidRPr="007917A1">
        <w:rPr>
          <w:rFonts w:ascii="Times New Roman" w:hAnsi="Times New Roman" w:cs="Times New Roman"/>
          <w:sz w:val="24"/>
          <w:szCs w:val="24"/>
          <w:lang w:val="en-US"/>
        </w:rPr>
        <w:t xml:space="preserve">no. </w:t>
      </w:r>
      <w:r w:rsidR="00D406C5" w:rsidRPr="007917A1">
        <w:rPr>
          <w:rFonts w:ascii="Times New Roman" w:hAnsi="Times New Roman" w:cs="Times New Roman"/>
          <w:sz w:val="24"/>
          <w:szCs w:val="24"/>
          <w:lang w:val="en-US"/>
        </w:rPr>
        <w:t>8 (74), 2017</w:t>
      </w:r>
      <w:r w:rsidRPr="007917A1">
        <w:rPr>
          <w:rFonts w:ascii="Times New Roman" w:hAnsi="Times New Roman" w:cs="Times New Roman"/>
          <w:sz w:val="24"/>
          <w:szCs w:val="24"/>
          <w:lang w:val="en-US"/>
        </w:rPr>
        <w:t>,</w:t>
      </w:r>
      <w:r w:rsidR="00D406C5" w:rsidRPr="007917A1">
        <w:rPr>
          <w:rFonts w:ascii="Times New Roman" w:hAnsi="Times New Roman" w:cs="Times New Roman"/>
          <w:sz w:val="24"/>
          <w:szCs w:val="24"/>
          <w:lang w:val="en-US"/>
        </w:rPr>
        <w:t xml:space="preserve"> </w:t>
      </w:r>
      <w:r w:rsidRPr="007917A1">
        <w:rPr>
          <w:rFonts w:ascii="Times New Roman" w:hAnsi="Times New Roman" w:cs="Times New Roman"/>
          <w:sz w:val="24"/>
          <w:szCs w:val="24"/>
          <w:lang w:val="en-US"/>
        </w:rPr>
        <w:t>pp</w:t>
      </w:r>
      <w:r w:rsidR="00D406C5" w:rsidRPr="007917A1">
        <w:rPr>
          <w:rFonts w:ascii="Times New Roman" w:hAnsi="Times New Roman" w:cs="Times New Roman"/>
          <w:sz w:val="24"/>
          <w:szCs w:val="24"/>
          <w:lang w:val="en-US"/>
        </w:rPr>
        <w:t>. 51-54.</w:t>
      </w:r>
      <w:r w:rsidRPr="007917A1">
        <w:rPr>
          <w:rFonts w:ascii="Times New Roman" w:hAnsi="Times New Roman" w:cs="Times New Roman"/>
          <w:sz w:val="24"/>
          <w:szCs w:val="24"/>
          <w:lang w:val="en-US"/>
        </w:rPr>
        <w:t xml:space="preserve"> (In Russ.)</w:t>
      </w:r>
    </w:p>
    <w:p w:rsidR="00D406C5" w:rsidRPr="007917A1" w:rsidRDefault="00DC3454" w:rsidP="003A5732">
      <w:pPr>
        <w:pStyle w:val="a5"/>
        <w:numPr>
          <w:ilvl w:val="0"/>
          <w:numId w:val="42"/>
        </w:numPr>
        <w:spacing w:line="360" w:lineRule="auto"/>
        <w:ind w:left="426" w:hanging="426"/>
        <w:jc w:val="both"/>
        <w:rPr>
          <w:rFonts w:ascii="Times New Roman" w:hAnsi="Times New Roman" w:cs="Times New Roman"/>
          <w:sz w:val="24"/>
          <w:szCs w:val="24"/>
        </w:rPr>
      </w:pPr>
      <w:proofErr w:type="spellStart"/>
      <w:r w:rsidRPr="007917A1">
        <w:rPr>
          <w:rFonts w:ascii="Times New Roman" w:hAnsi="Times New Roman" w:cs="Times New Roman"/>
          <w:i/>
          <w:sz w:val="24"/>
          <w:szCs w:val="24"/>
          <w:lang w:val="en-US"/>
        </w:rPr>
        <w:t>Blohin</w:t>
      </w:r>
      <w:proofErr w:type="spellEnd"/>
      <w:r w:rsidRPr="007917A1">
        <w:rPr>
          <w:rFonts w:ascii="Times New Roman" w:hAnsi="Times New Roman" w:cs="Times New Roman"/>
          <w:i/>
          <w:sz w:val="24"/>
          <w:szCs w:val="24"/>
          <w:lang w:val="en-US"/>
        </w:rPr>
        <w:t xml:space="preserve"> A.A., Sternik S.G., </w:t>
      </w:r>
      <w:proofErr w:type="spellStart"/>
      <w:r w:rsidRPr="007917A1">
        <w:rPr>
          <w:rFonts w:ascii="Times New Roman" w:hAnsi="Times New Roman" w:cs="Times New Roman"/>
          <w:i/>
          <w:sz w:val="24"/>
          <w:szCs w:val="24"/>
          <w:lang w:val="en-US"/>
        </w:rPr>
        <w:t>Bliznyak</w:t>
      </w:r>
      <w:proofErr w:type="spellEnd"/>
      <w:r w:rsidRPr="007917A1">
        <w:rPr>
          <w:rFonts w:ascii="Times New Roman" w:hAnsi="Times New Roman" w:cs="Times New Roman"/>
          <w:i/>
          <w:sz w:val="24"/>
          <w:szCs w:val="24"/>
          <w:lang w:val="en-US"/>
        </w:rPr>
        <w:t xml:space="preserve"> A.B., </w:t>
      </w:r>
      <w:proofErr w:type="spellStart"/>
      <w:r w:rsidRPr="007917A1">
        <w:rPr>
          <w:rFonts w:ascii="Times New Roman" w:hAnsi="Times New Roman" w:cs="Times New Roman"/>
          <w:i/>
          <w:sz w:val="24"/>
          <w:szCs w:val="24"/>
          <w:lang w:val="en-US"/>
        </w:rPr>
        <w:t>Dranev</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S.Ya</w:t>
      </w:r>
      <w:proofErr w:type="spellEnd"/>
      <w:r w:rsidRPr="007917A1">
        <w:rPr>
          <w:rFonts w:ascii="Times New Roman" w:hAnsi="Times New Roman" w:cs="Times New Roman"/>
          <w:i/>
          <w:sz w:val="24"/>
          <w:szCs w:val="24"/>
          <w:lang w:val="en-US"/>
        </w:rPr>
        <w:t>., Teleshev G.V</w:t>
      </w:r>
      <w:r w:rsidRPr="007917A1">
        <w:rPr>
          <w:rFonts w:ascii="Times New Roman" w:hAnsi="Times New Roman" w:cs="Times New Roman"/>
          <w:sz w:val="24"/>
          <w:szCs w:val="24"/>
          <w:lang w:val="en-US"/>
        </w:rPr>
        <w:t xml:space="preserve">. </w:t>
      </w:r>
      <w:proofErr w:type="spellStart"/>
      <w:r w:rsidRPr="007917A1">
        <w:rPr>
          <w:rFonts w:ascii="Times New Roman" w:hAnsi="Times New Roman" w:cs="Times New Roman"/>
          <w:sz w:val="24"/>
          <w:szCs w:val="24"/>
          <w:lang w:val="en-US"/>
        </w:rPr>
        <w:t>Nauchnyi</w:t>
      </w:r>
      <w:proofErr w:type="spellEnd"/>
      <w:r w:rsidRPr="007917A1">
        <w:rPr>
          <w:rFonts w:ascii="Times New Roman" w:hAnsi="Times New Roman" w:cs="Times New Roman"/>
          <w:sz w:val="24"/>
          <w:szCs w:val="24"/>
          <w:lang w:val="en-US"/>
        </w:rPr>
        <w:t xml:space="preserve"> </w:t>
      </w:r>
      <w:proofErr w:type="spellStart"/>
      <w:r w:rsidRPr="007917A1">
        <w:rPr>
          <w:rFonts w:ascii="Times New Roman" w:hAnsi="Times New Roman" w:cs="Times New Roman"/>
          <w:sz w:val="24"/>
          <w:szCs w:val="24"/>
          <w:lang w:val="en-US"/>
        </w:rPr>
        <w:t>doklad</w:t>
      </w:r>
      <w:proofErr w:type="spellEnd"/>
      <w:r w:rsidRPr="007917A1">
        <w:rPr>
          <w:rFonts w:ascii="Times New Roman" w:hAnsi="Times New Roman" w:cs="Times New Roman"/>
          <w:sz w:val="24"/>
          <w:szCs w:val="24"/>
          <w:lang w:val="en-US"/>
        </w:rPr>
        <w:t xml:space="preserve"> «</w:t>
      </w:r>
      <w:proofErr w:type="spellStart"/>
      <w:r w:rsidRPr="007917A1">
        <w:rPr>
          <w:rFonts w:ascii="Times New Roman" w:hAnsi="Times New Roman" w:cs="Times New Roman"/>
          <w:sz w:val="24"/>
          <w:szCs w:val="24"/>
          <w:lang w:val="en-US"/>
        </w:rPr>
        <w:t>Effekty</w:t>
      </w:r>
      <w:proofErr w:type="spellEnd"/>
      <w:r w:rsidRPr="007917A1">
        <w:rPr>
          <w:rFonts w:ascii="Times New Roman" w:hAnsi="Times New Roman" w:cs="Times New Roman"/>
          <w:sz w:val="24"/>
          <w:szCs w:val="24"/>
          <w:lang w:val="en-US"/>
        </w:rPr>
        <w:t xml:space="preserve"> </w:t>
      </w:r>
      <w:proofErr w:type="spellStart"/>
      <w:r w:rsidRPr="007917A1">
        <w:rPr>
          <w:rFonts w:ascii="Times New Roman" w:hAnsi="Times New Roman" w:cs="Times New Roman"/>
          <w:sz w:val="24"/>
          <w:szCs w:val="24"/>
          <w:lang w:val="en-US"/>
        </w:rPr>
        <w:t>institutsional'nykh</w:t>
      </w:r>
      <w:proofErr w:type="spellEnd"/>
      <w:r w:rsidRPr="007917A1">
        <w:rPr>
          <w:rFonts w:ascii="Times New Roman" w:hAnsi="Times New Roman" w:cs="Times New Roman"/>
          <w:sz w:val="24"/>
          <w:szCs w:val="24"/>
          <w:lang w:val="en-US"/>
        </w:rPr>
        <w:t xml:space="preserve"> </w:t>
      </w:r>
      <w:proofErr w:type="spellStart"/>
      <w:r w:rsidRPr="007917A1">
        <w:rPr>
          <w:rFonts w:ascii="Times New Roman" w:hAnsi="Times New Roman" w:cs="Times New Roman"/>
          <w:sz w:val="24"/>
          <w:szCs w:val="24"/>
          <w:lang w:val="en-US"/>
        </w:rPr>
        <w:t>razlichii</w:t>
      </w:r>
      <w:proofErr w:type="spellEnd"/>
      <w:r w:rsidRPr="007917A1">
        <w:rPr>
          <w:rFonts w:ascii="Times New Roman" w:hAnsi="Times New Roman" w:cs="Times New Roman"/>
          <w:sz w:val="24"/>
          <w:szCs w:val="24"/>
          <w:lang w:val="en-US"/>
        </w:rPr>
        <w:t xml:space="preserve"> i </w:t>
      </w:r>
      <w:proofErr w:type="spellStart"/>
      <w:r w:rsidRPr="007917A1">
        <w:rPr>
          <w:rFonts w:ascii="Times New Roman" w:hAnsi="Times New Roman" w:cs="Times New Roman"/>
          <w:sz w:val="24"/>
          <w:szCs w:val="24"/>
          <w:lang w:val="en-US"/>
        </w:rPr>
        <w:t>institutsional'noi</w:t>
      </w:r>
      <w:proofErr w:type="spellEnd"/>
      <w:r w:rsidRPr="007917A1">
        <w:rPr>
          <w:rFonts w:ascii="Times New Roman" w:hAnsi="Times New Roman" w:cs="Times New Roman"/>
          <w:sz w:val="24"/>
          <w:szCs w:val="24"/>
          <w:lang w:val="en-US"/>
        </w:rPr>
        <w:t xml:space="preserve"> </w:t>
      </w:r>
      <w:proofErr w:type="spellStart"/>
      <w:r w:rsidRPr="007917A1">
        <w:rPr>
          <w:rFonts w:ascii="Times New Roman" w:hAnsi="Times New Roman" w:cs="Times New Roman"/>
          <w:sz w:val="24"/>
          <w:szCs w:val="24"/>
          <w:lang w:val="en-US"/>
        </w:rPr>
        <w:t>renty</w:t>
      </w:r>
      <w:proofErr w:type="spellEnd"/>
      <w:r w:rsidRPr="007917A1">
        <w:rPr>
          <w:rFonts w:ascii="Times New Roman" w:hAnsi="Times New Roman" w:cs="Times New Roman"/>
          <w:sz w:val="24"/>
          <w:szCs w:val="24"/>
          <w:lang w:val="en-US"/>
        </w:rPr>
        <w:t xml:space="preserve"> v </w:t>
      </w:r>
      <w:proofErr w:type="spellStart"/>
      <w:r w:rsidRPr="007917A1">
        <w:rPr>
          <w:rFonts w:ascii="Times New Roman" w:hAnsi="Times New Roman" w:cs="Times New Roman"/>
          <w:sz w:val="24"/>
          <w:szCs w:val="24"/>
          <w:lang w:val="en-US"/>
        </w:rPr>
        <w:t>rossiiskoi</w:t>
      </w:r>
      <w:proofErr w:type="spellEnd"/>
      <w:r w:rsidRPr="007917A1">
        <w:rPr>
          <w:rFonts w:ascii="Times New Roman" w:hAnsi="Times New Roman" w:cs="Times New Roman"/>
          <w:sz w:val="24"/>
          <w:szCs w:val="24"/>
          <w:lang w:val="en-US"/>
        </w:rPr>
        <w:t xml:space="preserve"> </w:t>
      </w:r>
      <w:proofErr w:type="spellStart"/>
      <w:r w:rsidRPr="007917A1">
        <w:rPr>
          <w:rFonts w:ascii="Times New Roman" w:hAnsi="Times New Roman" w:cs="Times New Roman"/>
          <w:sz w:val="24"/>
          <w:szCs w:val="24"/>
          <w:lang w:val="en-US"/>
        </w:rPr>
        <w:t>ekonomike</w:t>
      </w:r>
      <w:proofErr w:type="spellEnd"/>
      <w:r w:rsidRPr="007917A1">
        <w:rPr>
          <w:rFonts w:ascii="Times New Roman" w:hAnsi="Times New Roman" w:cs="Times New Roman"/>
          <w:sz w:val="24"/>
          <w:szCs w:val="24"/>
          <w:lang w:val="en-US"/>
        </w:rPr>
        <w:t>»</w:t>
      </w:r>
      <w:r w:rsidRPr="007917A1">
        <w:rPr>
          <w:rFonts w:ascii="Segoe UI" w:hAnsi="Segoe UI" w:cs="Segoe UI"/>
          <w:sz w:val="21"/>
          <w:szCs w:val="21"/>
          <w:shd w:val="clear" w:color="auto" w:fill="FFFFFF"/>
          <w:lang w:val="en-US"/>
        </w:rPr>
        <w:t xml:space="preserve"> </w:t>
      </w:r>
      <w:r w:rsidR="00D01A2F" w:rsidRPr="007917A1">
        <w:rPr>
          <w:rFonts w:ascii="Segoe UI" w:hAnsi="Segoe UI" w:cs="Segoe UI"/>
          <w:sz w:val="21"/>
          <w:szCs w:val="21"/>
          <w:shd w:val="clear" w:color="auto" w:fill="FFFFFF"/>
          <w:lang w:val="en-US"/>
        </w:rPr>
        <w:t>[</w:t>
      </w:r>
      <w:r w:rsidRPr="007917A1">
        <w:rPr>
          <w:rFonts w:ascii="Times New Roman" w:hAnsi="Times New Roman" w:cs="Times New Roman"/>
          <w:sz w:val="24"/>
          <w:szCs w:val="24"/>
          <w:lang w:val="en-US"/>
        </w:rPr>
        <w:t xml:space="preserve">Scientific </w:t>
      </w:r>
      <w:r w:rsidR="00D01A2F" w:rsidRPr="007917A1">
        <w:rPr>
          <w:rFonts w:ascii="Times New Roman" w:hAnsi="Times New Roman" w:cs="Times New Roman"/>
          <w:sz w:val="24"/>
          <w:szCs w:val="24"/>
          <w:lang w:val="en-US"/>
        </w:rPr>
        <w:t>report: effects of institutional differences and institutional rent in Russian economy]</w:t>
      </w:r>
      <w:r w:rsidR="00D406C5" w:rsidRPr="007917A1">
        <w:rPr>
          <w:rFonts w:ascii="Times New Roman" w:hAnsi="Times New Roman" w:cs="Times New Roman"/>
          <w:sz w:val="24"/>
          <w:szCs w:val="24"/>
          <w:lang w:val="en-US"/>
        </w:rPr>
        <w:t xml:space="preserve">. </w:t>
      </w:r>
      <w:r w:rsidR="00D01A2F" w:rsidRPr="007917A1">
        <w:rPr>
          <w:rFonts w:ascii="Times New Roman" w:hAnsi="Times New Roman" w:cs="Times New Roman"/>
          <w:sz w:val="24"/>
          <w:szCs w:val="24"/>
          <w:lang w:val="en-US"/>
        </w:rPr>
        <w:t>Moscow,</w:t>
      </w:r>
      <w:r w:rsidR="00D406C5" w:rsidRPr="007917A1">
        <w:rPr>
          <w:rFonts w:ascii="Times New Roman" w:hAnsi="Times New Roman" w:cs="Times New Roman"/>
          <w:sz w:val="24"/>
          <w:szCs w:val="24"/>
        </w:rPr>
        <w:t xml:space="preserve"> </w:t>
      </w:r>
      <w:proofErr w:type="spellStart"/>
      <w:r w:rsidR="00D01A2F" w:rsidRPr="007917A1">
        <w:rPr>
          <w:rFonts w:ascii="Times New Roman" w:hAnsi="Times New Roman" w:cs="Times New Roman"/>
          <w:sz w:val="24"/>
          <w:szCs w:val="24"/>
          <w:lang w:val="en-US"/>
        </w:rPr>
        <w:t>Mezhdunarodnye</w:t>
      </w:r>
      <w:proofErr w:type="spellEnd"/>
      <w:r w:rsidR="00D01A2F" w:rsidRPr="007917A1">
        <w:rPr>
          <w:rFonts w:ascii="Times New Roman" w:hAnsi="Times New Roman" w:cs="Times New Roman"/>
          <w:sz w:val="24"/>
          <w:szCs w:val="24"/>
          <w:lang w:val="en-US"/>
        </w:rPr>
        <w:t xml:space="preserve"> </w:t>
      </w:r>
      <w:proofErr w:type="spellStart"/>
      <w:r w:rsidR="00D01A2F" w:rsidRPr="007917A1">
        <w:rPr>
          <w:rFonts w:ascii="Times New Roman" w:hAnsi="Times New Roman" w:cs="Times New Roman"/>
          <w:sz w:val="24"/>
          <w:szCs w:val="24"/>
          <w:lang w:val="en-US"/>
        </w:rPr>
        <w:t>otnosheniya</w:t>
      </w:r>
      <w:proofErr w:type="spellEnd"/>
      <w:r w:rsidR="00D01A2F" w:rsidRPr="007917A1">
        <w:rPr>
          <w:rFonts w:ascii="Times New Roman" w:hAnsi="Times New Roman" w:cs="Times New Roman"/>
          <w:sz w:val="24"/>
          <w:szCs w:val="24"/>
          <w:lang w:val="en-US"/>
        </w:rPr>
        <w:t xml:space="preserve"> Publ.</w:t>
      </w:r>
      <w:r w:rsidR="00D406C5" w:rsidRPr="007917A1">
        <w:rPr>
          <w:rFonts w:ascii="Times New Roman" w:hAnsi="Times New Roman" w:cs="Times New Roman"/>
          <w:sz w:val="24"/>
          <w:szCs w:val="24"/>
        </w:rPr>
        <w:t xml:space="preserve">, 2018. – 74 </w:t>
      </w:r>
      <w:r w:rsidR="00D01A2F" w:rsidRPr="007917A1">
        <w:rPr>
          <w:rFonts w:ascii="Times New Roman" w:hAnsi="Times New Roman" w:cs="Times New Roman"/>
          <w:sz w:val="24"/>
          <w:szCs w:val="24"/>
          <w:lang w:val="en-US"/>
        </w:rPr>
        <w:t>p</w:t>
      </w:r>
      <w:r w:rsidR="00D406C5" w:rsidRPr="007917A1">
        <w:rPr>
          <w:rFonts w:ascii="Times New Roman" w:hAnsi="Times New Roman" w:cs="Times New Roman"/>
          <w:sz w:val="24"/>
          <w:szCs w:val="24"/>
        </w:rPr>
        <w:t>.</w:t>
      </w:r>
    </w:p>
    <w:p w:rsidR="00D406C5" w:rsidRPr="007917A1" w:rsidRDefault="00D01A2F" w:rsidP="003A5732">
      <w:pPr>
        <w:pStyle w:val="a5"/>
        <w:numPr>
          <w:ilvl w:val="0"/>
          <w:numId w:val="42"/>
        </w:numPr>
        <w:spacing w:line="360" w:lineRule="auto"/>
        <w:ind w:left="426" w:hanging="426"/>
        <w:jc w:val="both"/>
        <w:rPr>
          <w:rFonts w:ascii="Times New Roman" w:hAnsi="Times New Roman" w:cs="Times New Roman"/>
          <w:i/>
          <w:sz w:val="24"/>
          <w:szCs w:val="24"/>
          <w:lang w:val="en-US"/>
        </w:rPr>
      </w:pPr>
      <w:r w:rsidRPr="007917A1">
        <w:rPr>
          <w:rFonts w:ascii="Times New Roman" w:hAnsi="Times New Roman" w:cs="Times New Roman"/>
          <w:i/>
          <w:sz w:val="24"/>
          <w:szCs w:val="24"/>
          <w:lang w:val="en-US"/>
        </w:rPr>
        <w:t>Sternik G.M., Sternik. S.G.</w:t>
      </w:r>
      <w:r w:rsidR="00D406C5" w:rsidRPr="007917A1">
        <w:rPr>
          <w:rFonts w:ascii="Arial" w:hAnsi="Arial" w:cs="Arial"/>
          <w:sz w:val="18"/>
          <w:szCs w:val="18"/>
          <w:shd w:val="clear" w:color="auto" w:fill="FFFFFF"/>
          <w:lang w:val="en-US"/>
        </w:rPr>
        <w:t xml:space="preserve"> </w:t>
      </w:r>
      <w:r w:rsidRPr="007917A1">
        <w:rPr>
          <w:rFonts w:ascii="Times New Roman" w:hAnsi="Times New Roman" w:cs="Times New Roman"/>
          <w:sz w:val="24"/>
          <w:szCs w:val="24"/>
          <w:lang w:val="en-US"/>
        </w:rPr>
        <w:t>[Evaluation of commercial rental rates on narrow markets].</w:t>
      </w:r>
      <w:r w:rsidR="00D406C5" w:rsidRPr="007917A1">
        <w:rPr>
          <w:rFonts w:ascii="Times New Roman" w:hAnsi="Times New Roman" w:cs="Times New Roman"/>
          <w:sz w:val="24"/>
          <w:szCs w:val="24"/>
          <w:lang w:val="en-US"/>
        </w:rPr>
        <w:t> </w:t>
      </w:r>
      <w:proofErr w:type="spellStart"/>
      <w:r w:rsidRPr="007917A1">
        <w:rPr>
          <w:rFonts w:ascii="Times New Roman" w:hAnsi="Times New Roman" w:cs="Times New Roman"/>
          <w:i/>
          <w:sz w:val="24"/>
          <w:szCs w:val="24"/>
          <w:lang w:val="en-US"/>
        </w:rPr>
        <w:t>Finansy</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teoriya</w:t>
      </w:r>
      <w:proofErr w:type="spellEnd"/>
      <w:r w:rsidRPr="007917A1">
        <w:rPr>
          <w:rFonts w:ascii="Times New Roman" w:hAnsi="Times New Roman" w:cs="Times New Roman"/>
          <w:i/>
          <w:sz w:val="24"/>
          <w:szCs w:val="24"/>
          <w:lang w:val="en-US"/>
        </w:rPr>
        <w:t xml:space="preserve"> i </w:t>
      </w:r>
      <w:proofErr w:type="spellStart"/>
      <w:r w:rsidRPr="007917A1">
        <w:rPr>
          <w:rFonts w:ascii="Times New Roman" w:hAnsi="Times New Roman" w:cs="Times New Roman"/>
          <w:i/>
          <w:sz w:val="24"/>
          <w:szCs w:val="24"/>
          <w:lang w:val="en-US"/>
        </w:rPr>
        <w:t>praktika</w:t>
      </w:r>
      <w:proofErr w:type="spellEnd"/>
      <w:r w:rsidRPr="007917A1">
        <w:rPr>
          <w:rFonts w:ascii="Times New Roman" w:hAnsi="Times New Roman" w:cs="Times New Roman"/>
          <w:i/>
          <w:sz w:val="24"/>
          <w:szCs w:val="24"/>
          <w:lang w:val="en-US"/>
        </w:rPr>
        <w:t xml:space="preserve"> = </w:t>
      </w:r>
      <w:r w:rsidR="00D406C5" w:rsidRPr="007917A1">
        <w:rPr>
          <w:rFonts w:ascii="Times New Roman" w:hAnsi="Times New Roman" w:cs="Times New Roman"/>
          <w:i/>
          <w:sz w:val="24"/>
          <w:szCs w:val="24"/>
          <w:lang w:val="en-US"/>
        </w:rPr>
        <w:t>Finance: Theory and Practice</w:t>
      </w:r>
      <w:r w:rsidR="00D406C5" w:rsidRPr="007917A1">
        <w:rPr>
          <w:rFonts w:ascii="Times New Roman" w:hAnsi="Times New Roman" w:cs="Times New Roman"/>
          <w:sz w:val="24"/>
          <w:szCs w:val="24"/>
          <w:lang w:val="en-US"/>
        </w:rPr>
        <w:t>. 2015</w:t>
      </w:r>
      <w:r w:rsidRPr="007917A1">
        <w:rPr>
          <w:rFonts w:ascii="Times New Roman" w:hAnsi="Times New Roman" w:cs="Times New Roman"/>
          <w:sz w:val="24"/>
          <w:szCs w:val="24"/>
          <w:lang w:val="en-US"/>
        </w:rPr>
        <w:t xml:space="preserve">, no. </w:t>
      </w:r>
      <w:r w:rsidR="00D406C5" w:rsidRPr="007917A1">
        <w:rPr>
          <w:rFonts w:ascii="Times New Roman" w:hAnsi="Times New Roman" w:cs="Times New Roman"/>
          <w:sz w:val="24"/>
          <w:szCs w:val="24"/>
          <w:lang w:val="en-US"/>
        </w:rPr>
        <w:t>5</w:t>
      </w:r>
      <w:r w:rsidRPr="007917A1">
        <w:rPr>
          <w:rFonts w:ascii="Times New Roman" w:hAnsi="Times New Roman" w:cs="Times New Roman"/>
          <w:sz w:val="24"/>
          <w:szCs w:val="24"/>
          <w:lang w:val="en-US"/>
        </w:rPr>
        <w:t>,</w:t>
      </w:r>
      <w:r w:rsidR="00D406C5" w:rsidRPr="007917A1">
        <w:rPr>
          <w:rFonts w:ascii="Times New Roman" w:hAnsi="Times New Roman" w:cs="Times New Roman"/>
          <w:sz w:val="24"/>
          <w:szCs w:val="24"/>
          <w:lang w:val="en-US"/>
        </w:rPr>
        <w:t xml:space="preserve"> </w:t>
      </w:r>
      <w:r w:rsidRPr="007917A1">
        <w:rPr>
          <w:rFonts w:ascii="Times New Roman" w:hAnsi="Times New Roman" w:cs="Times New Roman"/>
          <w:sz w:val="24"/>
          <w:szCs w:val="24"/>
          <w:lang w:val="en-US"/>
        </w:rPr>
        <w:t>pp</w:t>
      </w:r>
      <w:r w:rsidR="00D406C5" w:rsidRPr="007917A1">
        <w:rPr>
          <w:rFonts w:ascii="Times New Roman" w:hAnsi="Times New Roman" w:cs="Times New Roman"/>
          <w:sz w:val="24"/>
          <w:szCs w:val="24"/>
          <w:lang w:val="en-US"/>
        </w:rPr>
        <w:t>. 73-79.</w:t>
      </w:r>
      <w:r w:rsidRPr="007917A1">
        <w:rPr>
          <w:rFonts w:ascii="Times New Roman" w:hAnsi="Times New Roman" w:cs="Times New Roman"/>
          <w:sz w:val="24"/>
          <w:szCs w:val="24"/>
          <w:lang w:val="en-US"/>
        </w:rPr>
        <w:t xml:space="preserve"> (In. Russ.)</w:t>
      </w:r>
    </w:p>
    <w:p w:rsidR="00D406C5" w:rsidRPr="007917A1" w:rsidRDefault="00955D24" w:rsidP="003A5732">
      <w:pPr>
        <w:pStyle w:val="a5"/>
        <w:numPr>
          <w:ilvl w:val="0"/>
          <w:numId w:val="42"/>
        </w:numPr>
        <w:spacing w:line="360" w:lineRule="auto"/>
        <w:ind w:left="426" w:hanging="426"/>
        <w:jc w:val="both"/>
        <w:rPr>
          <w:rFonts w:ascii="Times New Roman" w:hAnsi="Times New Roman" w:cs="Times New Roman"/>
          <w:sz w:val="24"/>
          <w:szCs w:val="24"/>
          <w:lang w:val="en-US"/>
        </w:rPr>
      </w:pPr>
      <w:proofErr w:type="spellStart"/>
      <w:r w:rsidRPr="007917A1">
        <w:rPr>
          <w:rFonts w:ascii="Times New Roman" w:hAnsi="Times New Roman" w:cs="Times New Roman"/>
          <w:i/>
          <w:sz w:val="24"/>
          <w:szCs w:val="24"/>
          <w:lang w:val="en-US"/>
        </w:rPr>
        <w:t>Fedotova</w:t>
      </w:r>
      <w:proofErr w:type="spellEnd"/>
      <w:r w:rsidRPr="007917A1">
        <w:rPr>
          <w:rFonts w:ascii="Times New Roman" w:hAnsi="Times New Roman" w:cs="Times New Roman"/>
          <w:i/>
          <w:sz w:val="24"/>
          <w:szCs w:val="24"/>
          <w:lang w:val="en-US"/>
        </w:rPr>
        <w:t xml:space="preserve"> M.A., Sternik S.G., Teleshev G.V. </w:t>
      </w:r>
      <w:r w:rsidRPr="007917A1">
        <w:rPr>
          <w:rFonts w:ascii="Times New Roman" w:hAnsi="Times New Roman" w:cs="Times New Roman"/>
          <w:sz w:val="24"/>
          <w:szCs w:val="24"/>
          <w:lang w:val="en-US"/>
        </w:rPr>
        <w:t>[</w:t>
      </w:r>
      <w:r w:rsidR="003B1AFF" w:rsidRPr="007917A1">
        <w:rPr>
          <w:rFonts w:ascii="Times New Roman" w:hAnsi="Times New Roman" w:cs="Times New Roman"/>
          <w:sz w:val="24"/>
          <w:szCs w:val="24"/>
          <w:lang w:val="en-US"/>
        </w:rPr>
        <w:t>Methodology for managing real estate as part of bank assets and capital</w:t>
      </w:r>
      <w:r w:rsidRPr="007917A1">
        <w:rPr>
          <w:rFonts w:ascii="Times New Roman" w:hAnsi="Times New Roman" w:cs="Times New Roman"/>
          <w:sz w:val="24"/>
          <w:szCs w:val="24"/>
          <w:lang w:val="en-US"/>
        </w:rPr>
        <w:t>]</w:t>
      </w:r>
      <w:r w:rsidR="003B1AFF" w:rsidRPr="007917A1">
        <w:rPr>
          <w:rFonts w:ascii="Times New Roman" w:hAnsi="Times New Roman" w:cs="Times New Roman"/>
          <w:sz w:val="24"/>
          <w:szCs w:val="24"/>
          <w:lang w:val="en-US"/>
        </w:rPr>
        <w:t>.</w:t>
      </w:r>
      <w:r w:rsidR="00D406C5" w:rsidRPr="007917A1">
        <w:rPr>
          <w:rFonts w:ascii="Times New Roman" w:hAnsi="Times New Roman" w:cs="Times New Roman"/>
          <w:sz w:val="24"/>
          <w:szCs w:val="24"/>
          <w:lang w:val="en-US"/>
        </w:rPr>
        <w:t xml:space="preserve"> </w:t>
      </w:r>
      <w:proofErr w:type="spellStart"/>
      <w:r w:rsidR="003B1AFF" w:rsidRPr="007917A1">
        <w:rPr>
          <w:rFonts w:ascii="Times New Roman" w:hAnsi="Times New Roman" w:cs="Times New Roman"/>
          <w:i/>
          <w:sz w:val="24"/>
          <w:szCs w:val="24"/>
          <w:lang w:val="en-US"/>
        </w:rPr>
        <w:t>Upravlencheskie</w:t>
      </w:r>
      <w:proofErr w:type="spellEnd"/>
      <w:r w:rsidR="003B1AFF" w:rsidRPr="007917A1">
        <w:rPr>
          <w:rFonts w:ascii="Times New Roman" w:hAnsi="Times New Roman" w:cs="Times New Roman"/>
          <w:i/>
          <w:sz w:val="24"/>
          <w:szCs w:val="24"/>
          <w:lang w:val="en-US"/>
        </w:rPr>
        <w:t xml:space="preserve"> </w:t>
      </w:r>
      <w:proofErr w:type="spellStart"/>
      <w:r w:rsidR="003B1AFF" w:rsidRPr="007917A1">
        <w:rPr>
          <w:rFonts w:ascii="Times New Roman" w:hAnsi="Times New Roman" w:cs="Times New Roman"/>
          <w:i/>
          <w:sz w:val="24"/>
          <w:szCs w:val="24"/>
          <w:lang w:val="en-US"/>
        </w:rPr>
        <w:t>nauki</w:t>
      </w:r>
      <w:proofErr w:type="spellEnd"/>
      <w:r w:rsidR="00D406C5" w:rsidRPr="007917A1">
        <w:rPr>
          <w:rFonts w:ascii="Times New Roman" w:hAnsi="Times New Roman" w:cs="Times New Roman"/>
          <w:i/>
          <w:sz w:val="24"/>
          <w:szCs w:val="24"/>
          <w:lang w:val="en-US"/>
        </w:rPr>
        <w:t xml:space="preserve"> </w:t>
      </w:r>
      <w:r w:rsidRPr="007917A1">
        <w:rPr>
          <w:rFonts w:ascii="Times New Roman" w:hAnsi="Times New Roman" w:cs="Times New Roman"/>
          <w:i/>
          <w:sz w:val="24"/>
          <w:szCs w:val="24"/>
          <w:lang w:val="en-US"/>
        </w:rPr>
        <w:t>= Management sciences</w:t>
      </w:r>
      <w:r w:rsidR="003B1AFF" w:rsidRPr="007917A1">
        <w:rPr>
          <w:rFonts w:ascii="Times New Roman" w:hAnsi="Times New Roman" w:cs="Times New Roman"/>
          <w:sz w:val="24"/>
          <w:szCs w:val="24"/>
          <w:lang w:val="en-US"/>
        </w:rPr>
        <w:t>.</w:t>
      </w:r>
      <w:r w:rsidRPr="007917A1">
        <w:rPr>
          <w:rFonts w:ascii="Times New Roman" w:hAnsi="Times New Roman" w:cs="Times New Roman"/>
          <w:sz w:val="24"/>
          <w:szCs w:val="24"/>
          <w:lang w:val="en-US"/>
        </w:rPr>
        <w:t xml:space="preserve"> 2015, no. </w:t>
      </w:r>
      <w:r w:rsidR="00D406C5" w:rsidRPr="007917A1">
        <w:rPr>
          <w:rFonts w:ascii="Times New Roman" w:hAnsi="Times New Roman" w:cs="Times New Roman"/>
          <w:sz w:val="24"/>
          <w:szCs w:val="24"/>
          <w:lang w:val="en-US"/>
        </w:rPr>
        <w:t>4 (17)</w:t>
      </w:r>
      <w:r w:rsidRPr="007917A1">
        <w:rPr>
          <w:rFonts w:ascii="Times New Roman" w:hAnsi="Times New Roman" w:cs="Times New Roman"/>
          <w:sz w:val="24"/>
          <w:szCs w:val="24"/>
          <w:lang w:val="en-US"/>
        </w:rPr>
        <w:t>,</w:t>
      </w:r>
      <w:r w:rsidR="00D406C5" w:rsidRPr="007917A1">
        <w:rPr>
          <w:rFonts w:ascii="Times New Roman" w:hAnsi="Times New Roman" w:cs="Times New Roman"/>
          <w:sz w:val="24"/>
          <w:szCs w:val="24"/>
          <w:lang w:val="en-US"/>
        </w:rPr>
        <w:t xml:space="preserve"> </w:t>
      </w:r>
      <w:r w:rsidRPr="007917A1">
        <w:rPr>
          <w:rFonts w:ascii="Times New Roman" w:hAnsi="Times New Roman" w:cs="Times New Roman"/>
          <w:sz w:val="24"/>
          <w:szCs w:val="24"/>
          <w:lang w:val="en-US"/>
        </w:rPr>
        <w:t>pp</w:t>
      </w:r>
      <w:r w:rsidR="00D406C5" w:rsidRPr="007917A1">
        <w:rPr>
          <w:rFonts w:ascii="Times New Roman" w:hAnsi="Times New Roman" w:cs="Times New Roman"/>
          <w:sz w:val="24"/>
          <w:szCs w:val="24"/>
          <w:lang w:val="en-US"/>
        </w:rPr>
        <w:t>.</w:t>
      </w:r>
      <w:r w:rsidR="00AE04DC" w:rsidRPr="007917A1">
        <w:rPr>
          <w:rFonts w:ascii="Times New Roman" w:hAnsi="Times New Roman" w:cs="Times New Roman"/>
          <w:sz w:val="24"/>
          <w:szCs w:val="24"/>
          <w:lang w:val="en-US"/>
        </w:rPr>
        <w:t> </w:t>
      </w:r>
      <w:r w:rsidR="00D406C5" w:rsidRPr="007917A1">
        <w:rPr>
          <w:rFonts w:ascii="Times New Roman" w:hAnsi="Times New Roman" w:cs="Times New Roman"/>
          <w:sz w:val="24"/>
          <w:szCs w:val="24"/>
          <w:lang w:val="en-US"/>
        </w:rPr>
        <w:t>62-70</w:t>
      </w:r>
      <w:r w:rsidRPr="007917A1">
        <w:rPr>
          <w:rFonts w:ascii="Times New Roman" w:hAnsi="Times New Roman" w:cs="Times New Roman"/>
          <w:sz w:val="24"/>
          <w:szCs w:val="24"/>
          <w:lang w:val="en-US"/>
        </w:rPr>
        <w:t xml:space="preserve"> (In. Russ.)</w:t>
      </w:r>
    </w:p>
    <w:p w:rsidR="00D406C5" w:rsidRPr="007917A1" w:rsidRDefault="003B1AFF" w:rsidP="003A5732">
      <w:pPr>
        <w:pStyle w:val="a5"/>
        <w:numPr>
          <w:ilvl w:val="0"/>
          <w:numId w:val="42"/>
        </w:numPr>
        <w:spacing w:line="360" w:lineRule="auto"/>
        <w:ind w:left="426" w:hanging="426"/>
        <w:jc w:val="both"/>
        <w:rPr>
          <w:rFonts w:ascii="Times New Roman" w:hAnsi="Times New Roman" w:cs="Times New Roman"/>
          <w:i/>
          <w:sz w:val="24"/>
          <w:szCs w:val="24"/>
        </w:rPr>
      </w:pPr>
      <w:proofErr w:type="spellStart"/>
      <w:r w:rsidRPr="007917A1">
        <w:rPr>
          <w:rFonts w:ascii="Times New Roman" w:hAnsi="Times New Roman" w:cs="Times New Roman"/>
          <w:i/>
          <w:sz w:val="24"/>
          <w:szCs w:val="24"/>
          <w:lang w:val="en-US"/>
        </w:rPr>
        <w:t>Parhomenko</w:t>
      </w:r>
      <w:proofErr w:type="spellEnd"/>
      <w:r w:rsidRPr="007917A1">
        <w:rPr>
          <w:rFonts w:ascii="Times New Roman" w:hAnsi="Times New Roman" w:cs="Times New Roman"/>
          <w:i/>
          <w:sz w:val="24"/>
          <w:szCs w:val="24"/>
          <w:lang w:val="en-US"/>
        </w:rPr>
        <w:t xml:space="preserve"> M.S.</w:t>
      </w:r>
      <w:r w:rsidR="00D406C5" w:rsidRPr="007917A1">
        <w:rPr>
          <w:rFonts w:ascii="Times New Roman" w:hAnsi="Times New Roman" w:cs="Times New Roman"/>
          <w:sz w:val="24"/>
          <w:szCs w:val="24"/>
          <w:lang w:val="en-US"/>
        </w:rPr>
        <w:t xml:space="preserve"> </w:t>
      </w:r>
      <w:r w:rsidRPr="007917A1">
        <w:rPr>
          <w:rFonts w:ascii="Times New Roman" w:hAnsi="Times New Roman" w:cs="Times New Roman"/>
          <w:sz w:val="24"/>
          <w:szCs w:val="24"/>
          <w:lang w:val="en-US"/>
        </w:rPr>
        <w:t xml:space="preserve">[Impact of international sanctions on residential real estate market in Russia]. </w:t>
      </w:r>
      <w:proofErr w:type="spellStart"/>
      <w:r w:rsidRPr="007917A1">
        <w:rPr>
          <w:rFonts w:ascii="Times New Roman" w:hAnsi="Times New Roman" w:cs="Times New Roman"/>
          <w:i/>
          <w:sz w:val="24"/>
          <w:szCs w:val="24"/>
          <w:lang w:val="en-US"/>
        </w:rPr>
        <w:t>Vliyanie</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mezhdunarodnykh</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sanktsii</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na</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rynok</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zhiloi</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nedvizhimosti</w:t>
      </w:r>
      <w:proofErr w:type="spellEnd"/>
      <w:r w:rsidRPr="007917A1">
        <w:rPr>
          <w:rFonts w:ascii="Times New Roman" w:hAnsi="Times New Roman" w:cs="Times New Roman"/>
          <w:i/>
          <w:sz w:val="24"/>
          <w:szCs w:val="24"/>
          <w:lang w:val="en-US"/>
        </w:rPr>
        <w:t xml:space="preserve"> v </w:t>
      </w:r>
      <w:proofErr w:type="spellStart"/>
      <w:r w:rsidRPr="007917A1">
        <w:rPr>
          <w:rFonts w:ascii="Times New Roman" w:hAnsi="Times New Roman" w:cs="Times New Roman"/>
          <w:i/>
          <w:sz w:val="24"/>
          <w:szCs w:val="24"/>
          <w:lang w:val="en-US"/>
        </w:rPr>
        <w:t>Rossii</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Sbornik</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nauchnykh</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trudov</w:t>
      </w:r>
      <w:proofErr w:type="spellEnd"/>
      <w:r w:rsidRPr="007917A1">
        <w:rPr>
          <w:rFonts w:ascii="Times New Roman" w:hAnsi="Times New Roman" w:cs="Times New Roman"/>
          <w:i/>
          <w:sz w:val="24"/>
          <w:szCs w:val="24"/>
          <w:lang w:val="en-US"/>
        </w:rPr>
        <w:t xml:space="preserve"> XI </w:t>
      </w:r>
      <w:proofErr w:type="spellStart"/>
      <w:r w:rsidRPr="007917A1">
        <w:rPr>
          <w:rFonts w:ascii="Times New Roman" w:hAnsi="Times New Roman" w:cs="Times New Roman"/>
          <w:i/>
          <w:sz w:val="24"/>
          <w:szCs w:val="24"/>
          <w:lang w:val="en-US"/>
        </w:rPr>
        <w:t>Mezhdunarodnoi</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nauchno-prakticheskoi</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konferentsii</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posvyashchennoi</w:t>
      </w:r>
      <w:proofErr w:type="spellEnd"/>
      <w:r w:rsidRPr="007917A1">
        <w:rPr>
          <w:rFonts w:ascii="Times New Roman" w:hAnsi="Times New Roman" w:cs="Times New Roman"/>
          <w:i/>
          <w:sz w:val="24"/>
          <w:szCs w:val="24"/>
          <w:lang w:val="en-US"/>
        </w:rPr>
        <w:t xml:space="preserve"> 110-letiyu </w:t>
      </w:r>
      <w:proofErr w:type="spellStart"/>
      <w:r w:rsidRPr="007917A1">
        <w:rPr>
          <w:rFonts w:ascii="Times New Roman" w:hAnsi="Times New Roman" w:cs="Times New Roman"/>
          <w:i/>
          <w:sz w:val="24"/>
          <w:szCs w:val="24"/>
          <w:lang w:val="en-US"/>
        </w:rPr>
        <w:t>ekonomicheskogo</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obrazovaniya</w:t>
      </w:r>
      <w:proofErr w:type="spellEnd"/>
      <w:r w:rsidRPr="007917A1">
        <w:rPr>
          <w:rFonts w:ascii="Times New Roman" w:hAnsi="Times New Roman" w:cs="Times New Roman"/>
          <w:i/>
          <w:sz w:val="24"/>
          <w:szCs w:val="24"/>
          <w:lang w:val="en-US"/>
        </w:rPr>
        <w:t xml:space="preserve"> v </w:t>
      </w:r>
      <w:proofErr w:type="spellStart"/>
      <w:r w:rsidRPr="007917A1">
        <w:rPr>
          <w:rFonts w:ascii="Times New Roman" w:hAnsi="Times New Roman" w:cs="Times New Roman"/>
          <w:i/>
          <w:sz w:val="24"/>
          <w:szCs w:val="24"/>
          <w:lang w:val="en-US"/>
        </w:rPr>
        <w:t>Tomskom</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politekhnicheskom</w:t>
      </w:r>
      <w:proofErr w:type="spellEnd"/>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universitete</w:t>
      </w:r>
      <w:proofErr w:type="spellEnd"/>
      <w:r w:rsidRPr="007917A1">
        <w:rPr>
          <w:rFonts w:ascii="Times New Roman" w:hAnsi="Times New Roman" w:cs="Times New Roman"/>
          <w:i/>
          <w:sz w:val="24"/>
          <w:szCs w:val="24"/>
          <w:lang w:val="en-US"/>
        </w:rPr>
        <w:t>.</w:t>
      </w:r>
      <w:r w:rsidRPr="007917A1">
        <w:rPr>
          <w:rFonts w:ascii="Times New Roman" w:hAnsi="Times New Roman" w:cs="Times New Roman"/>
          <w:sz w:val="24"/>
          <w:szCs w:val="24"/>
          <w:lang w:val="en-US"/>
        </w:rPr>
        <w:t xml:space="preserve"> Tomsk,</w:t>
      </w:r>
      <w:r w:rsidRPr="007917A1">
        <w:rPr>
          <w:rFonts w:ascii="Times New Roman" w:hAnsi="Times New Roman" w:cs="Times New Roman"/>
          <w:sz w:val="24"/>
          <w:szCs w:val="24"/>
        </w:rPr>
        <w:t xml:space="preserve"> </w:t>
      </w:r>
      <w:r w:rsidRPr="007917A1">
        <w:rPr>
          <w:rFonts w:ascii="Times New Roman" w:hAnsi="Times New Roman" w:cs="Times New Roman"/>
          <w:sz w:val="24"/>
          <w:szCs w:val="24"/>
          <w:lang w:val="en-US"/>
        </w:rPr>
        <w:t>NITPU</w:t>
      </w:r>
      <w:r w:rsidRPr="007917A1">
        <w:rPr>
          <w:rFonts w:ascii="Times New Roman" w:hAnsi="Times New Roman" w:cs="Times New Roman"/>
          <w:sz w:val="24"/>
          <w:szCs w:val="24"/>
        </w:rPr>
        <w:t xml:space="preserve"> </w:t>
      </w:r>
      <w:proofErr w:type="spellStart"/>
      <w:r w:rsidRPr="007917A1">
        <w:rPr>
          <w:rFonts w:ascii="Times New Roman" w:hAnsi="Times New Roman" w:cs="Times New Roman"/>
          <w:sz w:val="24"/>
          <w:szCs w:val="24"/>
          <w:lang w:val="en-US"/>
        </w:rPr>
        <w:t>Publ</w:t>
      </w:r>
      <w:proofErr w:type="spellEnd"/>
      <w:r w:rsidR="00D406C5" w:rsidRPr="007917A1">
        <w:rPr>
          <w:rFonts w:ascii="Times New Roman" w:hAnsi="Times New Roman" w:cs="Times New Roman"/>
          <w:sz w:val="24"/>
          <w:szCs w:val="24"/>
        </w:rPr>
        <w:t xml:space="preserve">, 2014, </w:t>
      </w:r>
      <w:r w:rsidRPr="007917A1">
        <w:rPr>
          <w:rFonts w:ascii="Times New Roman" w:hAnsi="Times New Roman" w:cs="Times New Roman"/>
          <w:sz w:val="24"/>
          <w:szCs w:val="24"/>
          <w:lang w:val="en-US"/>
        </w:rPr>
        <w:t>pp</w:t>
      </w:r>
      <w:r w:rsidR="00D406C5" w:rsidRPr="007917A1">
        <w:rPr>
          <w:rFonts w:ascii="Times New Roman" w:hAnsi="Times New Roman" w:cs="Times New Roman"/>
          <w:sz w:val="24"/>
          <w:szCs w:val="24"/>
        </w:rPr>
        <w:t>. 242-247.</w:t>
      </w:r>
    </w:p>
    <w:p w:rsidR="00D406C5" w:rsidRPr="007917A1" w:rsidRDefault="003B1AFF" w:rsidP="003A5732">
      <w:pPr>
        <w:pStyle w:val="a5"/>
        <w:numPr>
          <w:ilvl w:val="0"/>
          <w:numId w:val="42"/>
        </w:numPr>
        <w:spacing w:line="360" w:lineRule="auto"/>
        <w:ind w:left="426" w:hanging="426"/>
        <w:jc w:val="both"/>
        <w:rPr>
          <w:rFonts w:ascii="Times New Roman" w:hAnsi="Times New Roman" w:cs="Times New Roman"/>
          <w:sz w:val="24"/>
          <w:szCs w:val="24"/>
          <w:lang w:val="en-US"/>
        </w:rPr>
      </w:pPr>
      <w:proofErr w:type="spellStart"/>
      <w:r w:rsidRPr="007917A1">
        <w:rPr>
          <w:rFonts w:ascii="Times New Roman" w:hAnsi="Times New Roman" w:cs="Times New Roman"/>
          <w:i/>
          <w:sz w:val="24"/>
          <w:szCs w:val="24"/>
          <w:lang w:val="en-US"/>
        </w:rPr>
        <w:t>Bolochev</w:t>
      </w:r>
      <w:proofErr w:type="spellEnd"/>
      <w:r w:rsidRPr="007917A1">
        <w:rPr>
          <w:rFonts w:ascii="Times New Roman" w:hAnsi="Times New Roman" w:cs="Times New Roman"/>
          <w:i/>
          <w:sz w:val="24"/>
          <w:szCs w:val="24"/>
          <w:lang w:val="en-US"/>
        </w:rPr>
        <w:t xml:space="preserve"> S.A., </w:t>
      </w:r>
      <w:proofErr w:type="spellStart"/>
      <w:r w:rsidRPr="007917A1">
        <w:rPr>
          <w:rFonts w:ascii="Times New Roman" w:hAnsi="Times New Roman" w:cs="Times New Roman"/>
          <w:i/>
          <w:sz w:val="24"/>
          <w:szCs w:val="24"/>
          <w:lang w:val="en-US"/>
        </w:rPr>
        <w:t>Alieva</w:t>
      </w:r>
      <w:proofErr w:type="spellEnd"/>
      <w:r w:rsidRPr="007917A1">
        <w:rPr>
          <w:rFonts w:ascii="Times New Roman" w:hAnsi="Times New Roman" w:cs="Times New Roman"/>
          <w:i/>
          <w:sz w:val="24"/>
          <w:szCs w:val="24"/>
          <w:lang w:val="en-US"/>
        </w:rPr>
        <w:t xml:space="preserve"> A.I., </w:t>
      </w:r>
      <w:proofErr w:type="spellStart"/>
      <w:r w:rsidRPr="007917A1">
        <w:rPr>
          <w:rFonts w:ascii="Times New Roman" w:hAnsi="Times New Roman" w:cs="Times New Roman"/>
          <w:i/>
          <w:sz w:val="24"/>
          <w:szCs w:val="24"/>
          <w:lang w:val="en-US"/>
        </w:rPr>
        <w:t>Borodenko</w:t>
      </w:r>
      <w:proofErr w:type="spellEnd"/>
      <w:r w:rsidRPr="007917A1">
        <w:rPr>
          <w:rFonts w:ascii="Times New Roman" w:hAnsi="Times New Roman" w:cs="Times New Roman"/>
          <w:i/>
          <w:sz w:val="24"/>
          <w:szCs w:val="24"/>
          <w:lang w:val="en-US"/>
        </w:rPr>
        <w:t xml:space="preserve"> A.A. </w:t>
      </w:r>
      <w:r w:rsidRPr="007917A1">
        <w:rPr>
          <w:rFonts w:ascii="Times New Roman" w:hAnsi="Times New Roman" w:cs="Times New Roman"/>
          <w:sz w:val="24"/>
          <w:szCs w:val="24"/>
          <w:lang w:val="en-US"/>
        </w:rPr>
        <w:t>[Evaluation of international sanctions impact on Russian real estate market]</w:t>
      </w:r>
      <w:r w:rsidR="00D406C5" w:rsidRPr="007917A1">
        <w:rPr>
          <w:rFonts w:ascii="Times New Roman" w:hAnsi="Times New Roman" w:cs="Times New Roman"/>
          <w:sz w:val="24"/>
          <w:szCs w:val="24"/>
          <w:lang w:val="en-US"/>
        </w:rPr>
        <w:t xml:space="preserve">. </w:t>
      </w:r>
      <w:proofErr w:type="spellStart"/>
      <w:r w:rsidR="00C601C6" w:rsidRPr="007917A1">
        <w:rPr>
          <w:rFonts w:ascii="Times New Roman" w:hAnsi="Times New Roman" w:cs="Times New Roman"/>
          <w:i/>
          <w:sz w:val="24"/>
          <w:szCs w:val="24"/>
          <w:lang w:val="en-US"/>
        </w:rPr>
        <w:t>Inzhenerno-stroitel'nyi</w:t>
      </w:r>
      <w:proofErr w:type="spellEnd"/>
      <w:r w:rsidR="00C601C6" w:rsidRPr="007917A1">
        <w:rPr>
          <w:rFonts w:ascii="Times New Roman" w:hAnsi="Times New Roman" w:cs="Times New Roman"/>
          <w:i/>
          <w:sz w:val="24"/>
          <w:szCs w:val="24"/>
          <w:lang w:val="en-US"/>
        </w:rPr>
        <w:t xml:space="preserve"> </w:t>
      </w:r>
      <w:proofErr w:type="spellStart"/>
      <w:r w:rsidR="00C601C6" w:rsidRPr="007917A1">
        <w:rPr>
          <w:rFonts w:ascii="Times New Roman" w:hAnsi="Times New Roman" w:cs="Times New Roman"/>
          <w:i/>
          <w:sz w:val="24"/>
          <w:szCs w:val="24"/>
          <w:lang w:val="en-US"/>
        </w:rPr>
        <w:t>vestnik</w:t>
      </w:r>
      <w:proofErr w:type="spellEnd"/>
      <w:r w:rsidR="00C601C6" w:rsidRPr="007917A1">
        <w:rPr>
          <w:rFonts w:ascii="Times New Roman" w:hAnsi="Times New Roman" w:cs="Times New Roman"/>
          <w:i/>
          <w:sz w:val="24"/>
          <w:szCs w:val="24"/>
          <w:lang w:val="en-US"/>
        </w:rPr>
        <w:t xml:space="preserve"> </w:t>
      </w:r>
      <w:proofErr w:type="spellStart"/>
      <w:r w:rsidR="00C601C6" w:rsidRPr="007917A1">
        <w:rPr>
          <w:rFonts w:ascii="Times New Roman" w:hAnsi="Times New Roman" w:cs="Times New Roman"/>
          <w:i/>
          <w:sz w:val="24"/>
          <w:szCs w:val="24"/>
          <w:lang w:val="en-US"/>
        </w:rPr>
        <w:t>Prikaspiya</w:t>
      </w:r>
      <w:proofErr w:type="spellEnd"/>
      <w:r w:rsidR="00C601C6" w:rsidRPr="007917A1">
        <w:rPr>
          <w:rFonts w:ascii="Times New Roman" w:hAnsi="Times New Roman" w:cs="Times New Roman"/>
          <w:i/>
          <w:sz w:val="24"/>
          <w:szCs w:val="24"/>
          <w:lang w:val="en-US"/>
        </w:rPr>
        <w:t xml:space="preserve"> </w:t>
      </w:r>
      <w:r w:rsidR="00374C8B" w:rsidRPr="007917A1">
        <w:rPr>
          <w:rFonts w:ascii="Times New Roman" w:hAnsi="Times New Roman" w:cs="Times New Roman"/>
          <w:i/>
          <w:sz w:val="24"/>
          <w:szCs w:val="24"/>
          <w:lang w:val="en-US"/>
        </w:rPr>
        <w:t xml:space="preserve">= </w:t>
      </w:r>
      <w:r w:rsidR="00DA0615" w:rsidRPr="007917A1">
        <w:rPr>
          <w:rFonts w:ascii="Times New Roman" w:hAnsi="Times New Roman" w:cs="Times New Roman"/>
          <w:i/>
          <w:sz w:val="24"/>
          <w:szCs w:val="24"/>
          <w:lang w:val="en-US"/>
        </w:rPr>
        <w:t>Engineering and construction herald of Near-</w:t>
      </w:r>
      <w:proofErr w:type="spellStart"/>
      <w:r w:rsidR="00DA0615" w:rsidRPr="007917A1">
        <w:rPr>
          <w:rFonts w:ascii="Times New Roman" w:hAnsi="Times New Roman" w:cs="Times New Roman"/>
          <w:i/>
          <w:sz w:val="24"/>
          <w:szCs w:val="24"/>
          <w:lang w:val="en-US"/>
        </w:rPr>
        <w:t>Kaspian</w:t>
      </w:r>
      <w:proofErr w:type="spellEnd"/>
      <w:r w:rsidR="00EB06FC" w:rsidRPr="007917A1">
        <w:rPr>
          <w:rFonts w:ascii="Times New Roman" w:hAnsi="Times New Roman" w:cs="Times New Roman"/>
          <w:i/>
          <w:sz w:val="24"/>
          <w:szCs w:val="24"/>
          <w:lang w:val="en-US"/>
        </w:rPr>
        <w:t xml:space="preserve"> region</w:t>
      </w:r>
      <w:r w:rsidR="00D406C5" w:rsidRPr="007917A1">
        <w:rPr>
          <w:rFonts w:ascii="Times New Roman" w:hAnsi="Times New Roman" w:cs="Times New Roman"/>
          <w:sz w:val="24"/>
          <w:szCs w:val="24"/>
          <w:lang w:val="en-US"/>
        </w:rPr>
        <w:t xml:space="preserve">, </w:t>
      </w:r>
      <w:r w:rsidR="00C601C6" w:rsidRPr="007917A1">
        <w:rPr>
          <w:rFonts w:ascii="Times New Roman" w:hAnsi="Times New Roman" w:cs="Times New Roman"/>
          <w:sz w:val="24"/>
          <w:szCs w:val="24"/>
          <w:lang w:val="en-US"/>
        </w:rPr>
        <w:t>no. </w:t>
      </w:r>
      <w:r w:rsidR="00D406C5" w:rsidRPr="007917A1">
        <w:rPr>
          <w:rFonts w:ascii="Times New Roman" w:hAnsi="Times New Roman" w:cs="Times New Roman"/>
          <w:sz w:val="24"/>
          <w:szCs w:val="24"/>
          <w:lang w:val="en-US"/>
        </w:rPr>
        <w:t xml:space="preserve">4 (10), 2014. </w:t>
      </w:r>
      <w:r w:rsidRPr="007917A1">
        <w:rPr>
          <w:rFonts w:ascii="Times New Roman" w:hAnsi="Times New Roman" w:cs="Times New Roman"/>
          <w:sz w:val="24"/>
          <w:szCs w:val="24"/>
          <w:lang w:val="en-US"/>
        </w:rPr>
        <w:t>pp</w:t>
      </w:r>
      <w:r w:rsidR="00D406C5" w:rsidRPr="007917A1">
        <w:rPr>
          <w:rFonts w:ascii="Times New Roman" w:hAnsi="Times New Roman" w:cs="Times New Roman"/>
          <w:sz w:val="24"/>
          <w:szCs w:val="24"/>
          <w:lang w:val="en-US"/>
        </w:rPr>
        <w:t>. 46-49.</w:t>
      </w:r>
      <w:r w:rsidR="00C601C6" w:rsidRPr="007917A1">
        <w:rPr>
          <w:rFonts w:ascii="Times New Roman" w:hAnsi="Times New Roman" w:cs="Times New Roman"/>
          <w:sz w:val="24"/>
          <w:szCs w:val="24"/>
          <w:lang w:val="en-US"/>
        </w:rPr>
        <w:t xml:space="preserve"> (In. Russ.)</w:t>
      </w:r>
    </w:p>
    <w:p w:rsidR="00D406C5" w:rsidRPr="007917A1" w:rsidRDefault="00D406C5" w:rsidP="003A5732">
      <w:pPr>
        <w:pStyle w:val="a5"/>
        <w:numPr>
          <w:ilvl w:val="0"/>
          <w:numId w:val="42"/>
        </w:numPr>
        <w:spacing w:line="360" w:lineRule="auto"/>
        <w:ind w:left="426" w:hanging="426"/>
        <w:jc w:val="both"/>
        <w:rPr>
          <w:rFonts w:ascii="Times New Roman" w:hAnsi="Times New Roman" w:cs="Times New Roman"/>
          <w:sz w:val="24"/>
          <w:szCs w:val="24"/>
          <w:lang w:val="en-US"/>
        </w:rPr>
      </w:pPr>
      <w:r w:rsidRPr="007917A1">
        <w:rPr>
          <w:rFonts w:ascii="Times New Roman" w:hAnsi="Times New Roman" w:cs="Times New Roman"/>
          <w:i/>
          <w:sz w:val="24"/>
          <w:szCs w:val="24"/>
          <w:lang w:val="en-US"/>
        </w:rPr>
        <w:t>Apgar. M.</w:t>
      </w:r>
      <w:r w:rsidRPr="007917A1">
        <w:rPr>
          <w:rFonts w:ascii="Times New Roman" w:hAnsi="Times New Roman" w:cs="Times New Roman"/>
          <w:sz w:val="24"/>
          <w:szCs w:val="24"/>
          <w:lang w:val="en-US"/>
        </w:rPr>
        <w:t xml:space="preserve"> Managing Real Estate to Build Value. </w:t>
      </w:r>
      <w:proofErr w:type="spellStart"/>
      <w:r w:rsidRPr="007917A1">
        <w:rPr>
          <w:rFonts w:ascii="Times New Roman" w:hAnsi="Times New Roman" w:cs="Times New Roman"/>
          <w:sz w:val="24"/>
          <w:szCs w:val="24"/>
          <w:lang w:val="en-US"/>
        </w:rPr>
        <w:t>Harward</w:t>
      </w:r>
      <w:proofErr w:type="spellEnd"/>
      <w:r w:rsidRPr="007917A1">
        <w:rPr>
          <w:rFonts w:ascii="Times New Roman" w:hAnsi="Times New Roman" w:cs="Times New Roman"/>
          <w:sz w:val="24"/>
          <w:szCs w:val="24"/>
          <w:lang w:val="en-US"/>
        </w:rPr>
        <w:t xml:space="preserve"> Business Review, November 1995. Available at: https://hbr.org/1995/11/managing-real-estate-to-build-value</w:t>
      </w:r>
    </w:p>
    <w:p w:rsidR="00D406C5" w:rsidRPr="007917A1" w:rsidRDefault="00D406C5" w:rsidP="003A5732">
      <w:pPr>
        <w:pStyle w:val="a5"/>
        <w:numPr>
          <w:ilvl w:val="0"/>
          <w:numId w:val="42"/>
        </w:numPr>
        <w:spacing w:line="360" w:lineRule="auto"/>
        <w:ind w:left="426" w:hanging="426"/>
        <w:jc w:val="both"/>
        <w:rPr>
          <w:rFonts w:ascii="Times New Roman" w:hAnsi="Times New Roman" w:cs="Times New Roman"/>
          <w:sz w:val="24"/>
          <w:szCs w:val="24"/>
          <w:lang w:val="en-US"/>
        </w:rPr>
      </w:pPr>
      <w:r w:rsidRPr="007917A1">
        <w:rPr>
          <w:rFonts w:ascii="Times New Roman" w:hAnsi="Times New Roman" w:cs="Times New Roman"/>
          <w:i/>
          <w:sz w:val="24"/>
          <w:szCs w:val="24"/>
          <w:lang w:val="en-US"/>
        </w:rPr>
        <w:t>Lindholm</w:t>
      </w:r>
      <w:r w:rsidR="00074F72" w:rsidRPr="007917A1">
        <w:rPr>
          <w:rFonts w:ascii="Times New Roman" w:hAnsi="Times New Roman" w:cs="Times New Roman"/>
          <w:i/>
          <w:sz w:val="24"/>
          <w:szCs w:val="24"/>
          <w:lang w:val="en-US"/>
        </w:rPr>
        <w:t xml:space="preserve"> A.</w:t>
      </w:r>
      <w:r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Gibler</w:t>
      </w:r>
      <w:proofErr w:type="spellEnd"/>
      <w:r w:rsidR="00074F72" w:rsidRPr="007917A1">
        <w:rPr>
          <w:rFonts w:ascii="Times New Roman" w:hAnsi="Times New Roman" w:cs="Times New Roman"/>
          <w:i/>
          <w:sz w:val="24"/>
          <w:szCs w:val="24"/>
          <w:lang w:val="en-US"/>
        </w:rPr>
        <w:t xml:space="preserve"> K.</w:t>
      </w:r>
      <w:r w:rsidRPr="007917A1">
        <w:rPr>
          <w:rFonts w:ascii="Times New Roman" w:hAnsi="Times New Roman" w:cs="Times New Roman"/>
          <w:i/>
          <w:sz w:val="24"/>
          <w:szCs w:val="24"/>
          <w:lang w:val="en-US"/>
        </w:rPr>
        <w:t>,</w:t>
      </w:r>
      <w:r w:rsidR="00074F72" w:rsidRPr="007917A1">
        <w:rPr>
          <w:rFonts w:ascii="Times New Roman" w:hAnsi="Times New Roman" w:cs="Times New Roman"/>
          <w:i/>
          <w:sz w:val="24"/>
          <w:szCs w:val="24"/>
          <w:lang w:val="en-US"/>
        </w:rPr>
        <w:t xml:space="preserve"> </w:t>
      </w:r>
      <w:proofErr w:type="spellStart"/>
      <w:r w:rsidRPr="007917A1">
        <w:rPr>
          <w:rFonts w:ascii="Times New Roman" w:hAnsi="Times New Roman" w:cs="Times New Roman"/>
          <w:i/>
          <w:sz w:val="24"/>
          <w:szCs w:val="24"/>
          <w:lang w:val="en-US"/>
        </w:rPr>
        <w:t>Levainen</w:t>
      </w:r>
      <w:proofErr w:type="spellEnd"/>
      <w:r w:rsidR="00074F72" w:rsidRPr="007917A1">
        <w:rPr>
          <w:rFonts w:ascii="Times New Roman" w:hAnsi="Times New Roman" w:cs="Times New Roman"/>
          <w:i/>
          <w:sz w:val="24"/>
          <w:szCs w:val="24"/>
          <w:lang w:val="en-US"/>
        </w:rPr>
        <w:t xml:space="preserve"> K</w:t>
      </w:r>
      <w:r w:rsidRPr="007917A1">
        <w:rPr>
          <w:rFonts w:ascii="Times New Roman" w:hAnsi="Times New Roman" w:cs="Times New Roman"/>
          <w:sz w:val="24"/>
          <w:szCs w:val="24"/>
          <w:lang w:val="en-US"/>
        </w:rPr>
        <w:t xml:space="preserve">. Modeling the Value-Adding Attributes of Real Estate to the Wealth Maximization of the Firm. </w:t>
      </w:r>
      <w:bookmarkStart w:id="29" w:name="_Hlk529211053"/>
      <w:r w:rsidRPr="007917A1">
        <w:rPr>
          <w:rFonts w:ascii="Times New Roman" w:hAnsi="Times New Roman" w:cs="Times New Roman"/>
          <w:sz w:val="24"/>
          <w:szCs w:val="24"/>
          <w:lang w:val="en-US"/>
        </w:rPr>
        <w:t>Journal of real estate research</w:t>
      </w:r>
      <w:r w:rsidR="008727EC" w:rsidRPr="007917A1">
        <w:rPr>
          <w:rFonts w:ascii="Times New Roman" w:hAnsi="Times New Roman" w:cs="Times New Roman"/>
          <w:sz w:val="24"/>
          <w:szCs w:val="24"/>
          <w:lang w:val="en-US"/>
        </w:rPr>
        <w:t>, 2006, v</w:t>
      </w:r>
      <w:r w:rsidRPr="007917A1">
        <w:rPr>
          <w:rFonts w:ascii="Times New Roman" w:hAnsi="Times New Roman" w:cs="Times New Roman"/>
          <w:sz w:val="24"/>
          <w:szCs w:val="24"/>
          <w:lang w:val="en-US"/>
        </w:rPr>
        <w:t>ol. 28</w:t>
      </w:r>
      <w:r w:rsidR="008727EC" w:rsidRPr="007917A1">
        <w:rPr>
          <w:rFonts w:ascii="Times New Roman" w:hAnsi="Times New Roman" w:cs="Times New Roman"/>
          <w:sz w:val="24"/>
          <w:szCs w:val="24"/>
          <w:lang w:val="en-US"/>
        </w:rPr>
        <w:t>,</w:t>
      </w:r>
      <w:r w:rsidRPr="007917A1">
        <w:rPr>
          <w:rFonts w:ascii="Times New Roman" w:hAnsi="Times New Roman" w:cs="Times New Roman"/>
          <w:sz w:val="24"/>
          <w:szCs w:val="24"/>
          <w:lang w:val="en-US"/>
        </w:rPr>
        <w:t xml:space="preserve"> </w:t>
      </w:r>
      <w:r w:rsidR="008727EC" w:rsidRPr="007917A1">
        <w:rPr>
          <w:rFonts w:ascii="Times New Roman" w:hAnsi="Times New Roman" w:cs="Times New Roman"/>
          <w:sz w:val="24"/>
          <w:szCs w:val="24"/>
          <w:lang w:val="en-US"/>
        </w:rPr>
        <w:t>n</w:t>
      </w:r>
      <w:r w:rsidRPr="007917A1">
        <w:rPr>
          <w:rFonts w:ascii="Times New Roman" w:hAnsi="Times New Roman" w:cs="Times New Roman"/>
          <w:sz w:val="24"/>
          <w:szCs w:val="24"/>
          <w:lang w:val="en-US"/>
        </w:rPr>
        <w:t>o. 4. pp.</w:t>
      </w:r>
      <w:r w:rsidR="008727EC" w:rsidRPr="007917A1">
        <w:rPr>
          <w:rFonts w:ascii="Times New Roman" w:hAnsi="Times New Roman" w:cs="Times New Roman"/>
          <w:sz w:val="24"/>
          <w:szCs w:val="24"/>
          <w:lang w:val="en-US"/>
        </w:rPr>
        <w:t> </w:t>
      </w:r>
      <w:r w:rsidRPr="007917A1">
        <w:rPr>
          <w:rFonts w:ascii="Times New Roman" w:hAnsi="Times New Roman" w:cs="Times New Roman"/>
          <w:sz w:val="24"/>
          <w:szCs w:val="24"/>
          <w:lang w:val="en-US"/>
        </w:rPr>
        <w:t>445-475</w:t>
      </w:r>
      <w:r w:rsidR="008727EC" w:rsidRPr="007917A1">
        <w:rPr>
          <w:rFonts w:ascii="Times New Roman" w:hAnsi="Times New Roman" w:cs="Times New Roman"/>
          <w:sz w:val="24"/>
          <w:szCs w:val="24"/>
          <w:lang w:val="en-US"/>
        </w:rPr>
        <w:t>.</w:t>
      </w:r>
      <w:r w:rsidRPr="007917A1">
        <w:rPr>
          <w:rFonts w:ascii="Times New Roman" w:hAnsi="Times New Roman" w:cs="Times New Roman"/>
          <w:sz w:val="24"/>
          <w:szCs w:val="24"/>
          <w:lang w:val="en-US"/>
        </w:rPr>
        <w:t xml:space="preserve"> Available at: https://pages.jh.edu/jrer/papers/pdf/past/vol28n04/05.445_476.pdf</w:t>
      </w:r>
      <w:bookmarkEnd w:id="29"/>
    </w:p>
    <w:p w:rsidR="0089543D" w:rsidRPr="007917A1" w:rsidRDefault="0089543D" w:rsidP="0089543D">
      <w:pPr>
        <w:pStyle w:val="a5"/>
        <w:numPr>
          <w:ilvl w:val="0"/>
          <w:numId w:val="42"/>
        </w:numPr>
        <w:spacing w:line="360" w:lineRule="auto"/>
        <w:ind w:left="426" w:hanging="426"/>
        <w:jc w:val="both"/>
        <w:rPr>
          <w:rFonts w:ascii="Times New Roman" w:hAnsi="Times New Roman" w:cs="Times New Roman"/>
          <w:sz w:val="24"/>
          <w:szCs w:val="24"/>
        </w:rPr>
      </w:pPr>
      <w:r w:rsidRPr="007917A1">
        <w:rPr>
          <w:rFonts w:ascii="Times New Roman" w:hAnsi="Times New Roman" w:cs="Times New Roman"/>
          <w:i/>
          <w:sz w:val="24"/>
          <w:szCs w:val="24"/>
          <w:lang w:val="en-US"/>
        </w:rPr>
        <w:lastRenderedPageBreak/>
        <w:t>Zhukov E.V.</w:t>
      </w:r>
      <w:r w:rsidRPr="007917A1">
        <w:rPr>
          <w:rFonts w:ascii="Times New Roman" w:hAnsi="Times New Roman" w:cs="Times New Roman"/>
          <w:sz w:val="24"/>
          <w:szCs w:val="24"/>
          <w:lang w:val="en-US"/>
        </w:rPr>
        <w:t xml:space="preserve"> [Strategic management of real </w:t>
      </w:r>
      <w:proofErr w:type="spellStart"/>
      <w:r w:rsidRPr="007917A1">
        <w:rPr>
          <w:rFonts w:ascii="Times New Roman" w:hAnsi="Times New Roman" w:cs="Times New Roman"/>
          <w:sz w:val="24"/>
          <w:szCs w:val="24"/>
          <w:lang w:val="en-US"/>
        </w:rPr>
        <w:t>esate</w:t>
      </w:r>
      <w:proofErr w:type="spellEnd"/>
      <w:r w:rsidRPr="007917A1">
        <w:rPr>
          <w:rFonts w:ascii="Times New Roman" w:hAnsi="Times New Roman" w:cs="Times New Roman"/>
          <w:sz w:val="24"/>
          <w:szCs w:val="24"/>
          <w:lang w:val="en-US"/>
        </w:rPr>
        <w:t xml:space="preserve"> in Russian corporations]. </w:t>
      </w:r>
      <w:proofErr w:type="spellStart"/>
      <w:r w:rsidRPr="007917A1">
        <w:rPr>
          <w:rFonts w:ascii="Times New Roman" w:hAnsi="Times New Roman" w:cs="Times New Roman"/>
          <w:sz w:val="24"/>
          <w:szCs w:val="24"/>
          <w:lang w:val="en-US"/>
        </w:rPr>
        <w:t>Ekonomika</w:t>
      </w:r>
      <w:proofErr w:type="spellEnd"/>
      <w:r w:rsidRPr="007917A1">
        <w:rPr>
          <w:rFonts w:ascii="Times New Roman" w:hAnsi="Times New Roman" w:cs="Times New Roman"/>
          <w:sz w:val="24"/>
          <w:szCs w:val="24"/>
          <w:lang w:val="en-US"/>
        </w:rPr>
        <w:t xml:space="preserve"> i </w:t>
      </w:r>
      <w:proofErr w:type="spellStart"/>
      <w:r w:rsidRPr="007917A1">
        <w:rPr>
          <w:rFonts w:ascii="Times New Roman" w:hAnsi="Times New Roman" w:cs="Times New Roman"/>
          <w:sz w:val="24"/>
          <w:szCs w:val="24"/>
          <w:lang w:val="en-US"/>
        </w:rPr>
        <w:t>prepdrinimatel’stvo</w:t>
      </w:r>
      <w:proofErr w:type="spellEnd"/>
      <w:r w:rsidRPr="007917A1">
        <w:rPr>
          <w:rFonts w:ascii="Times New Roman" w:hAnsi="Times New Roman" w:cs="Times New Roman"/>
          <w:sz w:val="24"/>
          <w:szCs w:val="24"/>
          <w:lang w:val="en-US"/>
        </w:rPr>
        <w:t xml:space="preserve"> = Economy and entrepreneurship,</w:t>
      </w:r>
      <w:r w:rsidRPr="007917A1">
        <w:rPr>
          <w:rFonts w:ascii="Times New Roman" w:hAnsi="Times New Roman" w:cs="Times New Roman"/>
          <w:sz w:val="24"/>
          <w:szCs w:val="24"/>
        </w:rPr>
        <w:t xml:space="preserve"> </w:t>
      </w:r>
      <w:r w:rsidRPr="007917A1">
        <w:rPr>
          <w:rFonts w:ascii="Times New Roman" w:hAnsi="Times New Roman" w:cs="Times New Roman"/>
          <w:sz w:val="24"/>
          <w:szCs w:val="24"/>
          <w:lang w:val="en-US"/>
        </w:rPr>
        <w:t xml:space="preserve">no. </w:t>
      </w:r>
      <w:r w:rsidRPr="007917A1">
        <w:rPr>
          <w:rFonts w:ascii="Times New Roman" w:hAnsi="Times New Roman" w:cs="Times New Roman"/>
          <w:sz w:val="24"/>
          <w:szCs w:val="24"/>
        </w:rPr>
        <w:t xml:space="preserve">5-2 (82). 2017. </w:t>
      </w:r>
      <w:r w:rsidRPr="007917A1">
        <w:rPr>
          <w:rFonts w:ascii="Times New Roman" w:hAnsi="Times New Roman" w:cs="Times New Roman"/>
          <w:sz w:val="24"/>
          <w:szCs w:val="24"/>
          <w:lang w:val="en-US"/>
        </w:rPr>
        <w:t>pp</w:t>
      </w:r>
      <w:r w:rsidRPr="007917A1">
        <w:rPr>
          <w:rFonts w:ascii="Times New Roman" w:hAnsi="Times New Roman" w:cs="Times New Roman"/>
          <w:sz w:val="24"/>
          <w:szCs w:val="24"/>
        </w:rPr>
        <w:t>. 1119-1124.</w:t>
      </w:r>
    </w:p>
    <w:p w:rsidR="001409B6" w:rsidRPr="007917A1" w:rsidRDefault="003E61D5" w:rsidP="003A5732">
      <w:pPr>
        <w:pStyle w:val="a5"/>
        <w:numPr>
          <w:ilvl w:val="0"/>
          <w:numId w:val="42"/>
        </w:numPr>
        <w:spacing w:before="120" w:after="0" w:line="360" w:lineRule="auto"/>
        <w:ind w:left="426" w:hanging="426"/>
        <w:jc w:val="both"/>
        <w:rPr>
          <w:rFonts w:ascii="Times New Roman" w:eastAsia="Times New Roman" w:hAnsi="Times New Roman" w:cs="Times New Roman"/>
          <w:b/>
          <w:sz w:val="24"/>
          <w:szCs w:val="24"/>
          <w:lang w:val="en-US" w:eastAsia="ru-RU"/>
        </w:rPr>
      </w:pPr>
      <w:proofErr w:type="spellStart"/>
      <w:r w:rsidRPr="007917A1">
        <w:rPr>
          <w:rFonts w:ascii="Times New Roman" w:hAnsi="Times New Roman" w:cs="Times New Roman"/>
          <w:i/>
          <w:sz w:val="24"/>
          <w:szCs w:val="24"/>
          <w:lang w:val="en-US"/>
        </w:rPr>
        <w:t>Ozerov</w:t>
      </w:r>
      <w:proofErr w:type="spellEnd"/>
      <w:r w:rsidRPr="007917A1">
        <w:rPr>
          <w:rFonts w:ascii="Times New Roman" w:hAnsi="Times New Roman" w:cs="Times New Roman"/>
          <w:i/>
          <w:sz w:val="24"/>
          <w:szCs w:val="24"/>
          <w:lang w:val="en-US"/>
        </w:rPr>
        <w:t xml:space="preserve"> E.S., </w:t>
      </w:r>
      <w:proofErr w:type="spellStart"/>
      <w:r w:rsidRPr="007917A1">
        <w:rPr>
          <w:rFonts w:ascii="Times New Roman" w:hAnsi="Times New Roman" w:cs="Times New Roman"/>
          <w:i/>
          <w:sz w:val="24"/>
          <w:szCs w:val="24"/>
          <w:lang w:val="en-US"/>
        </w:rPr>
        <w:t>Pupentsova</w:t>
      </w:r>
      <w:proofErr w:type="spellEnd"/>
      <w:r w:rsidRPr="007917A1">
        <w:rPr>
          <w:rFonts w:ascii="Times New Roman" w:hAnsi="Times New Roman" w:cs="Times New Roman"/>
          <w:i/>
          <w:sz w:val="24"/>
          <w:szCs w:val="24"/>
          <w:lang w:val="en-US"/>
        </w:rPr>
        <w:t xml:space="preserve"> S.V.</w:t>
      </w:r>
      <w:r w:rsidRPr="007917A1">
        <w:rPr>
          <w:rFonts w:ascii="Times New Roman" w:hAnsi="Times New Roman" w:cs="Times New Roman"/>
          <w:sz w:val="24"/>
          <w:szCs w:val="24"/>
          <w:lang w:val="en-US"/>
        </w:rPr>
        <w:t xml:space="preserve"> </w:t>
      </w:r>
      <w:proofErr w:type="spellStart"/>
      <w:r w:rsidRPr="007917A1">
        <w:rPr>
          <w:rFonts w:ascii="Times New Roman" w:hAnsi="Times New Roman" w:cs="Times New Roman"/>
          <w:sz w:val="24"/>
          <w:szCs w:val="24"/>
          <w:lang w:val="en-US"/>
        </w:rPr>
        <w:t>Upravlenie</w:t>
      </w:r>
      <w:proofErr w:type="spellEnd"/>
      <w:r w:rsidRPr="007917A1">
        <w:rPr>
          <w:rFonts w:ascii="Times New Roman" w:hAnsi="Times New Roman" w:cs="Times New Roman"/>
          <w:sz w:val="24"/>
          <w:szCs w:val="24"/>
          <w:lang w:val="en-US"/>
        </w:rPr>
        <w:t xml:space="preserve"> </w:t>
      </w:r>
      <w:proofErr w:type="spellStart"/>
      <w:r w:rsidRPr="007917A1">
        <w:rPr>
          <w:rFonts w:ascii="Times New Roman" w:hAnsi="Times New Roman" w:cs="Times New Roman"/>
          <w:sz w:val="24"/>
          <w:szCs w:val="24"/>
          <w:lang w:val="en-US"/>
        </w:rPr>
        <w:t>stoimost'yu</w:t>
      </w:r>
      <w:proofErr w:type="spellEnd"/>
      <w:r w:rsidRPr="007917A1">
        <w:rPr>
          <w:rFonts w:ascii="Times New Roman" w:hAnsi="Times New Roman" w:cs="Times New Roman"/>
          <w:sz w:val="24"/>
          <w:szCs w:val="24"/>
          <w:lang w:val="en-US"/>
        </w:rPr>
        <w:t xml:space="preserve"> i </w:t>
      </w:r>
      <w:proofErr w:type="spellStart"/>
      <w:r w:rsidRPr="007917A1">
        <w:rPr>
          <w:rFonts w:ascii="Times New Roman" w:hAnsi="Times New Roman" w:cs="Times New Roman"/>
          <w:sz w:val="24"/>
          <w:szCs w:val="24"/>
          <w:lang w:val="en-US"/>
        </w:rPr>
        <w:t>investitsionnym</w:t>
      </w:r>
      <w:proofErr w:type="spellEnd"/>
      <w:r w:rsidRPr="007917A1">
        <w:rPr>
          <w:rFonts w:ascii="Times New Roman" w:hAnsi="Times New Roman" w:cs="Times New Roman"/>
          <w:sz w:val="24"/>
          <w:szCs w:val="24"/>
          <w:lang w:val="en-US"/>
        </w:rPr>
        <w:t xml:space="preserve"> </w:t>
      </w:r>
      <w:proofErr w:type="spellStart"/>
      <w:r w:rsidRPr="007917A1">
        <w:rPr>
          <w:rFonts w:ascii="Times New Roman" w:hAnsi="Times New Roman" w:cs="Times New Roman"/>
          <w:sz w:val="24"/>
          <w:szCs w:val="24"/>
          <w:lang w:val="en-US"/>
        </w:rPr>
        <w:t>potentsialom</w:t>
      </w:r>
      <w:proofErr w:type="spellEnd"/>
      <w:r w:rsidRPr="007917A1">
        <w:rPr>
          <w:rFonts w:ascii="Times New Roman" w:hAnsi="Times New Roman" w:cs="Times New Roman"/>
          <w:sz w:val="24"/>
          <w:szCs w:val="24"/>
          <w:lang w:val="en-US"/>
        </w:rPr>
        <w:t xml:space="preserve"> </w:t>
      </w:r>
      <w:proofErr w:type="spellStart"/>
      <w:r w:rsidRPr="007917A1">
        <w:rPr>
          <w:rFonts w:ascii="Times New Roman" w:hAnsi="Times New Roman" w:cs="Times New Roman"/>
          <w:sz w:val="24"/>
          <w:szCs w:val="24"/>
          <w:lang w:val="en-US"/>
        </w:rPr>
        <w:t>nedvizhimosti</w:t>
      </w:r>
      <w:proofErr w:type="spellEnd"/>
      <w:r w:rsidRPr="007917A1">
        <w:rPr>
          <w:rFonts w:ascii="Times New Roman" w:hAnsi="Times New Roman" w:cs="Times New Roman"/>
          <w:sz w:val="24"/>
          <w:szCs w:val="24"/>
          <w:lang w:val="en-US"/>
        </w:rPr>
        <w:t xml:space="preserve">. </w:t>
      </w:r>
      <w:r w:rsidR="007E2D10" w:rsidRPr="007917A1">
        <w:rPr>
          <w:rFonts w:ascii="Times New Roman" w:hAnsi="Times New Roman" w:cs="Times New Roman"/>
          <w:sz w:val="24"/>
          <w:szCs w:val="24"/>
          <w:lang w:val="en-US"/>
        </w:rPr>
        <w:t xml:space="preserve">[Management of value and investment potential of real estate]. </w:t>
      </w:r>
      <w:r w:rsidRPr="007917A1">
        <w:rPr>
          <w:rFonts w:ascii="Times New Roman" w:hAnsi="Times New Roman" w:cs="Times New Roman"/>
          <w:sz w:val="24"/>
          <w:szCs w:val="24"/>
          <w:lang w:val="en-US"/>
        </w:rPr>
        <w:t>Saint Petersburg, Polytechnical University Publ., 2016, 600 p.</w:t>
      </w:r>
    </w:p>
    <w:sectPr w:rsidR="001409B6" w:rsidRPr="007917A1" w:rsidSect="004832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E1E" w:rsidRDefault="00786E1E" w:rsidP="002853CB">
      <w:pPr>
        <w:spacing w:after="0" w:line="240" w:lineRule="auto"/>
      </w:pPr>
      <w:r>
        <w:separator/>
      </w:r>
    </w:p>
  </w:endnote>
  <w:endnote w:type="continuationSeparator" w:id="0">
    <w:p w:rsidR="00786E1E" w:rsidRDefault="00786E1E" w:rsidP="0028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E1E" w:rsidRDefault="00786E1E" w:rsidP="002853CB">
      <w:pPr>
        <w:spacing w:after="0" w:line="240" w:lineRule="auto"/>
      </w:pPr>
      <w:r>
        <w:separator/>
      </w:r>
    </w:p>
  </w:footnote>
  <w:footnote w:type="continuationSeparator" w:id="0">
    <w:p w:rsidR="00786E1E" w:rsidRDefault="00786E1E" w:rsidP="002853CB">
      <w:pPr>
        <w:spacing w:after="0" w:line="240" w:lineRule="auto"/>
      </w:pPr>
      <w:r>
        <w:continuationSeparator/>
      </w:r>
    </w:p>
  </w:footnote>
  <w:footnote w:id="1">
    <w:p w:rsidR="008510AF" w:rsidRPr="002A4CDE" w:rsidRDefault="008510AF">
      <w:pPr>
        <w:pStyle w:val="a6"/>
        <w:rPr>
          <w:rFonts w:ascii="Times New Roman" w:hAnsi="Times New Roman" w:cs="Times New Roman"/>
          <w:sz w:val="16"/>
          <w:szCs w:val="16"/>
        </w:rPr>
      </w:pPr>
      <w:r w:rsidRPr="002A4CDE">
        <w:rPr>
          <w:rStyle w:val="a8"/>
          <w:rFonts w:ascii="Times New Roman" w:hAnsi="Times New Roman" w:cs="Times New Roman"/>
          <w:sz w:val="16"/>
          <w:szCs w:val="16"/>
        </w:rPr>
        <w:footnoteRef/>
      </w:r>
      <w:r w:rsidRPr="002A4CDE">
        <w:rPr>
          <w:rFonts w:ascii="Times New Roman" w:hAnsi="Times New Roman" w:cs="Times New Roman"/>
          <w:sz w:val="16"/>
          <w:szCs w:val="16"/>
        </w:rPr>
        <w:t xml:space="preserve"> Экономист Международного валютного фонда.</w:t>
      </w:r>
    </w:p>
  </w:footnote>
  <w:footnote w:id="2">
    <w:p w:rsidR="008510AF" w:rsidRPr="002A4CDE" w:rsidRDefault="008510AF">
      <w:pPr>
        <w:pStyle w:val="a6"/>
        <w:rPr>
          <w:rFonts w:ascii="Times New Roman" w:hAnsi="Times New Roman" w:cs="Times New Roman"/>
          <w:sz w:val="16"/>
          <w:szCs w:val="16"/>
        </w:rPr>
      </w:pPr>
      <w:r w:rsidRPr="002A4CDE">
        <w:rPr>
          <w:rStyle w:val="a8"/>
          <w:rFonts w:ascii="Times New Roman" w:hAnsi="Times New Roman" w:cs="Times New Roman"/>
          <w:sz w:val="16"/>
          <w:szCs w:val="16"/>
        </w:rPr>
        <w:footnoteRef/>
      </w:r>
      <w:r w:rsidRPr="002A4CDE">
        <w:rPr>
          <w:rFonts w:ascii="Times New Roman" w:hAnsi="Times New Roman" w:cs="Times New Roman"/>
          <w:sz w:val="16"/>
          <w:szCs w:val="16"/>
        </w:rPr>
        <w:t xml:space="preserve"> См</w:t>
      </w:r>
      <w:r w:rsidR="00085056">
        <w:rPr>
          <w:rFonts w:ascii="Times New Roman" w:hAnsi="Times New Roman" w:cs="Times New Roman"/>
          <w:sz w:val="16"/>
          <w:szCs w:val="16"/>
        </w:rPr>
        <w:t>.</w:t>
      </w:r>
      <w:r w:rsidRPr="002A4CDE">
        <w:rPr>
          <w:rFonts w:ascii="Times New Roman" w:hAnsi="Times New Roman" w:cs="Times New Roman"/>
          <w:sz w:val="16"/>
          <w:szCs w:val="16"/>
        </w:rPr>
        <w:t xml:space="preserve"> в частности перечень существенных риском Группы Сбербанк – Годовой Отчет ПАО Сбербанк за 2017 г. </w:t>
      </w:r>
      <w:r w:rsidRPr="002A4CDE">
        <w:rPr>
          <w:rFonts w:ascii="Times New Roman" w:hAnsi="Times New Roman" w:cs="Times New Roman"/>
          <w:sz w:val="16"/>
          <w:szCs w:val="16"/>
          <w:lang w:val="en-US"/>
        </w:rPr>
        <w:t>URL</w:t>
      </w:r>
      <w:r w:rsidRPr="002A4CDE">
        <w:rPr>
          <w:rFonts w:ascii="Times New Roman" w:hAnsi="Times New Roman" w:cs="Times New Roman"/>
          <w:sz w:val="16"/>
          <w:szCs w:val="16"/>
        </w:rPr>
        <w:t>:</w:t>
      </w:r>
      <w:r w:rsidRPr="002A4CDE">
        <w:rPr>
          <w:rFonts w:ascii="Times New Roman" w:hAnsi="Times New Roman" w:cs="Times New Roman"/>
          <w:sz w:val="16"/>
          <w:szCs w:val="16"/>
          <w:lang w:val="en-US"/>
        </w:rPr>
        <w:t> </w:t>
      </w:r>
      <w:r w:rsidRPr="002A4CDE">
        <w:rPr>
          <w:rFonts w:ascii="Times New Roman" w:hAnsi="Times New Roman" w:cs="Times New Roman"/>
          <w:sz w:val="16"/>
          <w:szCs w:val="16"/>
        </w:rPr>
        <w:t xml:space="preserve">https://www.sberbank.com/common/img/uploaded/files/pdf/yrep/sberbank_annual_report_2017_rus.pdf </w:t>
      </w:r>
    </w:p>
  </w:footnote>
  <w:footnote w:id="3">
    <w:p w:rsidR="008510AF" w:rsidRPr="002A4CDE" w:rsidRDefault="008510AF">
      <w:pPr>
        <w:pStyle w:val="a6"/>
        <w:rPr>
          <w:rFonts w:ascii="Times New Roman" w:hAnsi="Times New Roman" w:cs="Times New Roman"/>
          <w:sz w:val="16"/>
          <w:szCs w:val="16"/>
        </w:rPr>
      </w:pPr>
      <w:r w:rsidRPr="002A4CDE">
        <w:rPr>
          <w:rStyle w:val="a8"/>
          <w:rFonts w:ascii="Times New Roman" w:hAnsi="Times New Roman" w:cs="Times New Roman"/>
          <w:sz w:val="16"/>
          <w:szCs w:val="16"/>
        </w:rPr>
        <w:footnoteRef/>
      </w:r>
      <w:r w:rsidRPr="002A4CDE">
        <w:rPr>
          <w:rFonts w:ascii="Times New Roman" w:hAnsi="Times New Roman" w:cs="Times New Roman"/>
          <w:sz w:val="16"/>
          <w:szCs w:val="16"/>
        </w:rPr>
        <w:t xml:space="preserve"> Положение Банка России  от 22 декабря 2014 г. №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footnote>
  <w:footnote w:id="4">
    <w:p w:rsidR="008510AF" w:rsidRPr="002A4CDE" w:rsidRDefault="008510AF">
      <w:pPr>
        <w:pStyle w:val="a6"/>
        <w:rPr>
          <w:rFonts w:ascii="Times New Roman" w:hAnsi="Times New Roman" w:cs="Times New Roman"/>
          <w:sz w:val="16"/>
          <w:szCs w:val="16"/>
          <w:lang w:val="en-US"/>
        </w:rPr>
      </w:pPr>
      <w:r w:rsidRPr="007917A1">
        <w:rPr>
          <w:rStyle w:val="a8"/>
          <w:rFonts w:ascii="Times New Roman" w:hAnsi="Times New Roman" w:cs="Times New Roman"/>
          <w:sz w:val="16"/>
          <w:szCs w:val="16"/>
        </w:rPr>
        <w:footnoteRef/>
      </w:r>
      <w:r w:rsidRPr="007917A1">
        <w:rPr>
          <w:rFonts w:ascii="Times New Roman" w:hAnsi="Times New Roman" w:cs="Times New Roman"/>
          <w:sz w:val="16"/>
          <w:szCs w:val="16"/>
        </w:rPr>
        <w:t xml:space="preserve"> Международный стандарт финансовой отчетности (</w:t>
      </w:r>
      <w:r w:rsidRPr="007917A1">
        <w:rPr>
          <w:rFonts w:ascii="Times New Roman" w:hAnsi="Times New Roman" w:cs="Times New Roman"/>
          <w:sz w:val="16"/>
          <w:szCs w:val="16"/>
          <w:lang w:val="en-US"/>
        </w:rPr>
        <w:t>IFRS</w:t>
      </w:r>
      <w:r w:rsidRPr="007917A1">
        <w:rPr>
          <w:rFonts w:ascii="Times New Roman" w:hAnsi="Times New Roman" w:cs="Times New Roman"/>
          <w:sz w:val="16"/>
          <w:szCs w:val="16"/>
        </w:rPr>
        <w:t xml:space="preserve">) 13 «Оценка справедливой стоимости». </w:t>
      </w:r>
      <w:r w:rsidRPr="007917A1">
        <w:rPr>
          <w:rFonts w:ascii="Times New Roman" w:hAnsi="Times New Roman" w:cs="Times New Roman"/>
          <w:sz w:val="16"/>
          <w:szCs w:val="16"/>
          <w:lang w:val="en-US"/>
        </w:rPr>
        <w:t>URL: https://www.minfin.ru/common/upload/library/no_date/2013/prilozhenie_%E2%84%96_7_-_ru_gvt_ifrs_13_may_2011.pdf</w:t>
      </w:r>
    </w:p>
  </w:footnote>
  <w:footnote w:id="5">
    <w:p w:rsidR="008510AF" w:rsidRPr="007917A1" w:rsidRDefault="008510AF">
      <w:pPr>
        <w:pStyle w:val="a6"/>
        <w:rPr>
          <w:rFonts w:ascii="Times New Roman" w:hAnsi="Times New Roman" w:cs="Times New Roman"/>
          <w:sz w:val="16"/>
          <w:szCs w:val="16"/>
          <w:lang w:val="en-US"/>
        </w:rPr>
      </w:pPr>
      <w:r w:rsidRPr="002A4CDE">
        <w:rPr>
          <w:rStyle w:val="a8"/>
          <w:rFonts w:ascii="Times New Roman" w:hAnsi="Times New Roman" w:cs="Times New Roman"/>
          <w:sz w:val="16"/>
          <w:szCs w:val="16"/>
        </w:rPr>
        <w:footnoteRef/>
      </w:r>
      <w:r w:rsidRPr="002A4CDE">
        <w:rPr>
          <w:rFonts w:ascii="Times New Roman" w:hAnsi="Times New Roman" w:cs="Times New Roman"/>
          <w:sz w:val="16"/>
          <w:szCs w:val="16"/>
        </w:rPr>
        <w:t xml:space="preserve"> Аналогичные замечания к понятию «справедливая стоимость» (и к наличию деривативов понятий, к примеру «объективная рыночная стоимость» и пр.) высказывались и международными экспертами, в частности Международным комитетом по стандартам оценки в их письме в адрес </w:t>
      </w:r>
      <w:proofErr w:type="spellStart"/>
      <w:r w:rsidRPr="002A4CDE">
        <w:rPr>
          <w:rFonts w:ascii="Times New Roman" w:hAnsi="Times New Roman" w:cs="Times New Roman"/>
          <w:sz w:val="16"/>
          <w:szCs w:val="16"/>
        </w:rPr>
        <w:t>Базельского</w:t>
      </w:r>
      <w:proofErr w:type="spellEnd"/>
      <w:r w:rsidRPr="002A4CDE">
        <w:rPr>
          <w:rFonts w:ascii="Times New Roman" w:hAnsi="Times New Roman" w:cs="Times New Roman"/>
          <w:sz w:val="16"/>
          <w:szCs w:val="16"/>
        </w:rPr>
        <w:t xml:space="preserve"> комитета. </w:t>
      </w:r>
      <w:r w:rsidRPr="002A4CDE">
        <w:rPr>
          <w:rFonts w:ascii="Times New Roman" w:hAnsi="Times New Roman" w:cs="Times New Roman"/>
          <w:sz w:val="16"/>
          <w:szCs w:val="16"/>
          <w:lang w:val="en-US"/>
        </w:rPr>
        <w:t>URL</w:t>
      </w:r>
      <w:r w:rsidRPr="007917A1">
        <w:rPr>
          <w:rFonts w:ascii="Times New Roman" w:hAnsi="Times New Roman" w:cs="Times New Roman"/>
          <w:sz w:val="16"/>
          <w:szCs w:val="16"/>
          <w:lang w:val="en-US"/>
        </w:rPr>
        <w:t>: https://www.bis.org/bcbs/cp3/invastco.pdf.</w:t>
      </w:r>
    </w:p>
  </w:footnote>
  <w:footnote w:id="6">
    <w:p w:rsidR="008510AF" w:rsidRPr="007917A1" w:rsidRDefault="008510AF">
      <w:pPr>
        <w:pStyle w:val="a6"/>
        <w:rPr>
          <w:rFonts w:ascii="Times New Roman" w:hAnsi="Times New Roman" w:cs="Times New Roman"/>
          <w:sz w:val="16"/>
          <w:szCs w:val="16"/>
          <w:lang w:val="en-US"/>
        </w:rPr>
      </w:pPr>
      <w:r w:rsidRPr="007917A1">
        <w:rPr>
          <w:rStyle w:val="a8"/>
          <w:rFonts w:ascii="Times New Roman" w:hAnsi="Times New Roman" w:cs="Times New Roman"/>
          <w:sz w:val="16"/>
          <w:szCs w:val="16"/>
        </w:rPr>
        <w:footnoteRef/>
      </w:r>
      <w:r w:rsidRPr="007917A1">
        <w:rPr>
          <w:rFonts w:ascii="Times New Roman" w:hAnsi="Times New Roman" w:cs="Times New Roman"/>
          <w:sz w:val="16"/>
          <w:szCs w:val="16"/>
          <w:lang w:val="en-US"/>
        </w:rPr>
        <w:t xml:space="preserve"> International Valuation Standards 2017. Pre-publication draft. P. 20. URL: https://www.ivsc.org/files/file/view/id/811</w:t>
      </w:r>
    </w:p>
  </w:footnote>
  <w:footnote w:id="7">
    <w:p w:rsidR="008510AF" w:rsidRPr="002A4CDE" w:rsidRDefault="008510AF">
      <w:pPr>
        <w:pStyle w:val="a6"/>
        <w:rPr>
          <w:rFonts w:ascii="Times New Roman" w:hAnsi="Times New Roman" w:cs="Times New Roman"/>
          <w:sz w:val="16"/>
          <w:szCs w:val="16"/>
        </w:rPr>
      </w:pPr>
      <w:r w:rsidRPr="007917A1">
        <w:rPr>
          <w:rStyle w:val="a8"/>
          <w:rFonts w:ascii="Times New Roman" w:hAnsi="Times New Roman" w:cs="Times New Roman"/>
          <w:sz w:val="16"/>
          <w:szCs w:val="16"/>
        </w:rPr>
        <w:footnoteRef/>
      </w:r>
      <w:r w:rsidRPr="007917A1">
        <w:rPr>
          <w:rFonts w:ascii="Times New Roman" w:hAnsi="Times New Roman" w:cs="Times New Roman"/>
          <w:sz w:val="16"/>
          <w:szCs w:val="16"/>
        </w:rPr>
        <w:t xml:space="preserve"> «Положение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 утверждено Банком России 22.12.2014, № 448-П.</w:t>
      </w:r>
    </w:p>
  </w:footnote>
  <w:footnote w:id="8">
    <w:p w:rsidR="008510AF" w:rsidRPr="002A4CDE" w:rsidRDefault="008510AF">
      <w:pPr>
        <w:pStyle w:val="a6"/>
        <w:rPr>
          <w:rFonts w:ascii="Times New Roman" w:hAnsi="Times New Roman" w:cs="Times New Roman"/>
          <w:sz w:val="16"/>
          <w:szCs w:val="16"/>
        </w:rPr>
      </w:pPr>
      <w:r w:rsidRPr="002A4CDE">
        <w:rPr>
          <w:rStyle w:val="a8"/>
          <w:rFonts w:ascii="Times New Roman" w:hAnsi="Times New Roman" w:cs="Times New Roman"/>
          <w:sz w:val="16"/>
          <w:szCs w:val="16"/>
        </w:rPr>
        <w:footnoteRef/>
      </w:r>
      <w:r w:rsidRPr="002A4CDE">
        <w:rPr>
          <w:rFonts w:ascii="Times New Roman" w:hAnsi="Times New Roman" w:cs="Times New Roman"/>
          <w:sz w:val="16"/>
          <w:szCs w:val="16"/>
        </w:rPr>
        <w:t xml:space="preserve"> На основе данных публикуемых Банком России формы 101 во всем банкам в банковской системе Российской Федерации (неконсолидированные данные)</w:t>
      </w:r>
      <w:r w:rsidR="007D1A5D">
        <w:rPr>
          <w:rFonts w:ascii="Times New Roman" w:hAnsi="Times New Roman" w:cs="Times New Roman"/>
          <w:sz w:val="16"/>
          <w:szCs w:val="16"/>
        </w:rPr>
        <w:t xml:space="preserve"> по следующим категориям: основные средства, ДАПП, НВНОД (остатки по соответствующим счетам</w:t>
      </w:r>
      <w:r w:rsidR="003F3105">
        <w:rPr>
          <w:rFonts w:ascii="Times New Roman" w:hAnsi="Times New Roman" w:cs="Times New Roman"/>
          <w:sz w:val="16"/>
          <w:szCs w:val="16"/>
        </w:rPr>
        <w:t xml:space="preserve"> на 01.10.2018</w:t>
      </w:r>
      <w:r w:rsidR="007D1A5D">
        <w:rPr>
          <w:rFonts w:ascii="Times New Roman" w:hAnsi="Times New Roman" w:cs="Times New Roman"/>
          <w:sz w:val="16"/>
          <w:szCs w:val="16"/>
        </w:rPr>
        <w:t>) в соответствии с ПБУ</w:t>
      </w:r>
      <w:r w:rsidRPr="002A4CDE">
        <w:rPr>
          <w:rFonts w:ascii="Times New Roman" w:hAnsi="Times New Roman" w:cs="Times New Roman"/>
          <w:sz w:val="16"/>
          <w:szCs w:val="16"/>
        </w:rPr>
        <w:t xml:space="preserve">. </w:t>
      </w:r>
      <w:r w:rsidR="003F3105">
        <w:rPr>
          <w:rFonts w:ascii="Times New Roman" w:hAnsi="Times New Roman" w:cs="Times New Roman"/>
          <w:sz w:val="16"/>
          <w:szCs w:val="16"/>
        </w:rPr>
        <w:t xml:space="preserve">Формы 101 по всем банкам РФ, </w:t>
      </w:r>
      <w:r w:rsidR="006D2E82">
        <w:rPr>
          <w:rFonts w:ascii="Times New Roman" w:hAnsi="Times New Roman" w:cs="Times New Roman"/>
          <w:sz w:val="16"/>
          <w:szCs w:val="16"/>
          <w:lang w:val="en-US"/>
        </w:rPr>
        <w:t>URL</w:t>
      </w:r>
      <w:r w:rsidR="006D2E82" w:rsidRPr="007D1A5D">
        <w:rPr>
          <w:rFonts w:ascii="Times New Roman" w:hAnsi="Times New Roman" w:cs="Times New Roman"/>
          <w:sz w:val="16"/>
          <w:szCs w:val="16"/>
        </w:rPr>
        <w:t xml:space="preserve">: </w:t>
      </w:r>
      <w:r w:rsidRPr="002A4CDE">
        <w:rPr>
          <w:rFonts w:ascii="Times New Roman" w:hAnsi="Times New Roman" w:cs="Times New Roman"/>
          <w:sz w:val="16"/>
          <w:szCs w:val="16"/>
        </w:rPr>
        <w:t xml:space="preserve">http://www.cbr.ru/credit/forms/ </w:t>
      </w:r>
    </w:p>
  </w:footnote>
  <w:footnote w:id="9">
    <w:p w:rsidR="008510AF" w:rsidRPr="002A4CDE" w:rsidRDefault="008510AF">
      <w:pPr>
        <w:pStyle w:val="a6"/>
        <w:rPr>
          <w:rFonts w:ascii="Times New Roman" w:hAnsi="Times New Roman" w:cs="Times New Roman"/>
          <w:sz w:val="16"/>
          <w:szCs w:val="16"/>
        </w:rPr>
      </w:pPr>
      <w:r w:rsidRPr="002A4CDE">
        <w:rPr>
          <w:rStyle w:val="a8"/>
          <w:rFonts w:ascii="Times New Roman" w:hAnsi="Times New Roman" w:cs="Times New Roman"/>
          <w:sz w:val="16"/>
          <w:szCs w:val="16"/>
        </w:rPr>
        <w:footnoteRef/>
      </w:r>
      <w:r w:rsidRPr="002A4CDE">
        <w:rPr>
          <w:rFonts w:ascii="Times New Roman" w:hAnsi="Times New Roman" w:cs="Times New Roman"/>
          <w:sz w:val="16"/>
          <w:szCs w:val="16"/>
        </w:rPr>
        <w:t xml:space="preserve"> На основе формы 101 - счёту второго уровня №91312 «Имущество, принятое в обеспечение по размещенным средствам, кроме ценных бумаг и  драгоценных  металлов» кредитных организаций по состоянию на 01.10.2018 (форма 101). Данные Банка России. </w:t>
      </w:r>
      <w:r w:rsidRPr="002A4CDE">
        <w:rPr>
          <w:rFonts w:ascii="Times New Roman" w:hAnsi="Times New Roman" w:cs="Times New Roman"/>
          <w:sz w:val="16"/>
          <w:szCs w:val="16"/>
          <w:lang w:val="en-US"/>
        </w:rPr>
        <w:t>URL</w:t>
      </w:r>
      <w:r w:rsidRPr="002A4CDE">
        <w:rPr>
          <w:rFonts w:ascii="Times New Roman" w:hAnsi="Times New Roman" w:cs="Times New Roman"/>
          <w:sz w:val="16"/>
          <w:szCs w:val="16"/>
        </w:rPr>
        <w:t xml:space="preserve">: </w:t>
      </w:r>
      <w:r w:rsidR="006D2E82" w:rsidRPr="002A4CDE">
        <w:rPr>
          <w:rFonts w:ascii="Times New Roman" w:hAnsi="Times New Roman" w:cs="Times New Roman"/>
          <w:sz w:val="16"/>
          <w:szCs w:val="16"/>
        </w:rPr>
        <w:t>http://www.cbr.ru/credit/forms/</w:t>
      </w:r>
    </w:p>
  </w:footnote>
  <w:footnote w:id="10">
    <w:p w:rsidR="007733BF" w:rsidRPr="002A4CDE" w:rsidRDefault="007733BF">
      <w:pPr>
        <w:pStyle w:val="a6"/>
        <w:rPr>
          <w:rFonts w:ascii="Times New Roman" w:hAnsi="Times New Roman" w:cs="Times New Roman"/>
          <w:sz w:val="16"/>
          <w:szCs w:val="16"/>
        </w:rPr>
      </w:pPr>
      <w:r w:rsidRPr="007917A1">
        <w:rPr>
          <w:rStyle w:val="a8"/>
          <w:rFonts w:ascii="Times New Roman" w:hAnsi="Times New Roman" w:cs="Times New Roman"/>
          <w:sz w:val="16"/>
          <w:szCs w:val="16"/>
        </w:rPr>
        <w:footnoteRef/>
      </w:r>
      <w:r w:rsidRPr="007917A1">
        <w:rPr>
          <w:rFonts w:ascii="Times New Roman" w:hAnsi="Times New Roman" w:cs="Times New Roman"/>
          <w:sz w:val="16"/>
          <w:szCs w:val="16"/>
        </w:rPr>
        <w:t xml:space="preserve"> Целевые показатели приведены на основании мнения авторов относительно и могут быть изменены с учетом специфики конкретных кредитных организаций и на основе анализа лучших и бенчмаркинга по отдельным показателям управления портфелем недвижимости.</w:t>
      </w:r>
    </w:p>
  </w:footnote>
  <w:footnote w:id="11">
    <w:p w:rsidR="008510AF" w:rsidRPr="002A4CDE" w:rsidRDefault="008510AF">
      <w:pPr>
        <w:pStyle w:val="a6"/>
        <w:rPr>
          <w:rFonts w:ascii="Times New Roman" w:hAnsi="Times New Roman" w:cs="Times New Roman"/>
          <w:sz w:val="16"/>
          <w:szCs w:val="16"/>
        </w:rPr>
      </w:pPr>
      <w:r w:rsidRPr="002A4CDE">
        <w:rPr>
          <w:rStyle w:val="a8"/>
          <w:rFonts w:ascii="Times New Roman" w:hAnsi="Times New Roman" w:cs="Times New Roman"/>
          <w:sz w:val="16"/>
          <w:szCs w:val="16"/>
        </w:rPr>
        <w:footnoteRef/>
      </w:r>
      <w:r w:rsidRPr="002A4CDE">
        <w:rPr>
          <w:rFonts w:ascii="Times New Roman" w:hAnsi="Times New Roman" w:cs="Times New Roman"/>
          <w:sz w:val="16"/>
          <w:szCs w:val="16"/>
        </w:rPr>
        <w:t xml:space="preserve"> Показатель, чаще всего упоминаемый в Западных источниках как “</w:t>
      </w:r>
      <w:r w:rsidRPr="002A4CDE">
        <w:rPr>
          <w:rFonts w:ascii="Times New Roman" w:hAnsi="Times New Roman" w:cs="Times New Roman"/>
          <w:sz w:val="16"/>
          <w:szCs w:val="16"/>
          <w:lang w:val="en-US"/>
        </w:rPr>
        <w:t>recovery</w:t>
      </w:r>
      <w:r w:rsidRPr="002A4CDE">
        <w:rPr>
          <w:rFonts w:ascii="Times New Roman" w:hAnsi="Times New Roman" w:cs="Times New Roman"/>
          <w:sz w:val="16"/>
          <w:szCs w:val="16"/>
        </w:rPr>
        <w:t xml:space="preserve"> </w:t>
      </w:r>
      <w:r w:rsidRPr="002A4CDE">
        <w:rPr>
          <w:rFonts w:ascii="Times New Roman" w:hAnsi="Times New Roman" w:cs="Times New Roman"/>
          <w:sz w:val="16"/>
          <w:szCs w:val="16"/>
          <w:lang w:val="en-US"/>
        </w:rPr>
        <w:t>rate</w:t>
      </w:r>
      <w:r w:rsidRPr="002A4CDE">
        <w:rPr>
          <w:rFonts w:ascii="Times New Roman" w:hAnsi="Times New Roman" w:cs="Times New Roman"/>
          <w:sz w:val="16"/>
          <w:szCs w:val="16"/>
        </w:rPr>
        <w:t>”.</w:t>
      </w:r>
    </w:p>
  </w:footnote>
  <w:footnote w:id="12">
    <w:p w:rsidR="007733BF" w:rsidRPr="002A4CDE" w:rsidRDefault="007733BF" w:rsidP="007733BF">
      <w:pPr>
        <w:pStyle w:val="a6"/>
        <w:rPr>
          <w:rFonts w:ascii="Times New Roman" w:hAnsi="Times New Roman" w:cs="Times New Roman"/>
          <w:sz w:val="16"/>
          <w:szCs w:val="16"/>
        </w:rPr>
      </w:pPr>
      <w:r w:rsidRPr="007917A1">
        <w:rPr>
          <w:rStyle w:val="a8"/>
          <w:rFonts w:ascii="Times New Roman" w:hAnsi="Times New Roman" w:cs="Times New Roman"/>
          <w:sz w:val="16"/>
          <w:szCs w:val="16"/>
        </w:rPr>
        <w:footnoteRef/>
      </w:r>
      <w:r w:rsidRPr="007917A1">
        <w:rPr>
          <w:rFonts w:ascii="Times New Roman" w:hAnsi="Times New Roman" w:cs="Times New Roman"/>
          <w:sz w:val="16"/>
          <w:szCs w:val="16"/>
        </w:rPr>
        <w:t xml:space="preserve"> Система управления корпоративной недвижимостью </w:t>
      </w:r>
      <w:proofErr w:type="spellStart"/>
      <w:r w:rsidRPr="007917A1">
        <w:rPr>
          <w:rFonts w:ascii="Times New Roman" w:hAnsi="Times New Roman" w:cs="Times New Roman"/>
          <w:sz w:val="16"/>
          <w:szCs w:val="16"/>
        </w:rPr>
        <w:t>ValMaster</w:t>
      </w:r>
      <w:proofErr w:type="spellEnd"/>
      <w:r w:rsidRPr="007917A1">
        <w:rPr>
          <w:rFonts w:ascii="Times New Roman" w:hAnsi="Times New Roman" w:cs="Times New Roman"/>
          <w:sz w:val="16"/>
          <w:szCs w:val="16"/>
        </w:rPr>
        <w:t>™ FM/</w:t>
      </w:r>
      <w:proofErr w:type="spellStart"/>
      <w:r w:rsidRPr="007917A1">
        <w:rPr>
          <w:rFonts w:ascii="Times New Roman" w:hAnsi="Times New Roman" w:cs="Times New Roman"/>
          <w:sz w:val="16"/>
          <w:szCs w:val="16"/>
        </w:rPr>
        <w:t>FacilitiesManagement</w:t>
      </w:r>
      <w:proofErr w:type="spellEnd"/>
      <w:r w:rsidRPr="007917A1">
        <w:rPr>
          <w:rFonts w:ascii="Times New Roman" w:hAnsi="Times New Roman" w:cs="Times New Roman"/>
          <w:sz w:val="16"/>
          <w:szCs w:val="16"/>
        </w:rPr>
        <w:t xml:space="preserve">. </w:t>
      </w:r>
      <w:r w:rsidRPr="007917A1">
        <w:rPr>
          <w:rFonts w:ascii="Times New Roman" w:hAnsi="Times New Roman" w:cs="Times New Roman"/>
          <w:sz w:val="16"/>
          <w:szCs w:val="16"/>
          <w:lang w:val="en-US"/>
        </w:rPr>
        <w:t>URL</w:t>
      </w:r>
      <w:r w:rsidRPr="007917A1">
        <w:rPr>
          <w:rFonts w:ascii="Times New Roman" w:hAnsi="Times New Roman" w:cs="Times New Roman"/>
          <w:sz w:val="16"/>
          <w:szCs w:val="16"/>
        </w:rPr>
        <w:t xml:space="preserve">: </w:t>
      </w:r>
      <w:proofErr w:type="spellStart"/>
      <w:r w:rsidRPr="007917A1">
        <w:rPr>
          <w:rFonts w:ascii="Times New Roman" w:hAnsi="Times New Roman" w:cs="Times New Roman"/>
          <w:sz w:val="16"/>
          <w:szCs w:val="16"/>
          <w:lang w:val="en-US"/>
        </w:rPr>
        <w:t>valmaster</w:t>
      </w:r>
      <w:proofErr w:type="spellEnd"/>
      <w:r w:rsidRPr="007917A1">
        <w:rPr>
          <w:rFonts w:ascii="Times New Roman" w:hAnsi="Times New Roman" w:cs="Times New Roman"/>
          <w:sz w:val="16"/>
          <w:szCs w:val="16"/>
        </w:rPr>
        <w:t>.</w:t>
      </w:r>
      <w:r w:rsidRPr="007917A1">
        <w:rPr>
          <w:rFonts w:ascii="Times New Roman" w:hAnsi="Times New Roman" w:cs="Times New Roman"/>
          <w:sz w:val="16"/>
          <w:szCs w:val="16"/>
          <w:lang w:val="en-US"/>
        </w:rPr>
        <w:t>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11EC"/>
    <w:multiLevelType w:val="hybridMultilevel"/>
    <w:tmpl w:val="7BAC0E1C"/>
    <w:lvl w:ilvl="0" w:tplc="9D9606CE">
      <w:start w:val="1"/>
      <w:numFmt w:val="bullet"/>
      <w:lvlText w:val="•"/>
      <w:lvlJc w:val="left"/>
      <w:pPr>
        <w:tabs>
          <w:tab w:val="num" w:pos="720"/>
        </w:tabs>
        <w:ind w:left="720" w:hanging="360"/>
      </w:pPr>
      <w:rPr>
        <w:rFonts w:ascii="Arial" w:hAnsi="Arial" w:hint="default"/>
      </w:rPr>
    </w:lvl>
    <w:lvl w:ilvl="1" w:tplc="8320C18C" w:tentative="1">
      <w:start w:val="1"/>
      <w:numFmt w:val="bullet"/>
      <w:lvlText w:val="•"/>
      <w:lvlJc w:val="left"/>
      <w:pPr>
        <w:tabs>
          <w:tab w:val="num" w:pos="1440"/>
        </w:tabs>
        <w:ind w:left="1440" w:hanging="360"/>
      </w:pPr>
      <w:rPr>
        <w:rFonts w:ascii="Arial" w:hAnsi="Arial" w:hint="default"/>
      </w:rPr>
    </w:lvl>
    <w:lvl w:ilvl="2" w:tplc="BAAA8C0A" w:tentative="1">
      <w:start w:val="1"/>
      <w:numFmt w:val="bullet"/>
      <w:lvlText w:val="•"/>
      <w:lvlJc w:val="left"/>
      <w:pPr>
        <w:tabs>
          <w:tab w:val="num" w:pos="2160"/>
        </w:tabs>
        <w:ind w:left="2160" w:hanging="360"/>
      </w:pPr>
      <w:rPr>
        <w:rFonts w:ascii="Arial" w:hAnsi="Arial" w:hint="default"/>
      </w:rPr>
    </w:lvl>
    <w:lvl w:ilvl="3" w:tplc="C7127D7A" w:tentative="1">
      <w:start w:val="1"/>
      <w:numFmt w:val="bullet"/>
      <w:lvlText w:val="•"/>
      <w:lvlJc w:val="left"/>
      <w:pPr>
        <w:tabs>
          <w:tab w:val="num" w:pos="2880"/>
        </w:tabs>
        <w:ind w:left="2880" w:hanging="360"/>
      </w:pPr>
      <w:rPr>
        <w:rFonts w:ascii="Arial" w:hAnsi="Arial" w:hint="default"/>
      </w:rPr>
    </w:lvl>
    <w:lvl w:ilvl="4" w:tplc="140ED48C" w:tentative="1">
      <w:start w:val="1"/>
      <w:numFmt w:val="bullet"/>
      <w:lvlText w:val="•"/>
      <w:lvlJc w:val="left"/>
      <w:pPr>
        <w:tabs>
          <w:tab w:val="num" w:pos="3600"/>
        </w:tabs>
        <w:ind w:left="3600" w:hanging="360"/>
      </w:pPr>
      <w:rPr>
        <w:rFonts w:ascii="Arial" w:hAnsi="Arial" w:hint="default"/>
      </w:rPr>
    </w:lvl>
    <w:lvl w:ilvl="5" w:tplc="9740FCBA" w:tentative="1">
      <w:start w:val="1"/>
      <w:numFmt w:val="bullet"/>
      <w:lvlText w:val="•"/>
      <w:lvlJc w:val="left"/>
      <w:pPr>
        <w:tabs>
          <w:tab w:val="num" w:pos="4320"/>
        </w:tabs>
        <w:ind w:left="4320" w:hanging="360"/>
      </w:pPr>
      <w:rPr>
        <w:rFonts w:ascii="Arial" w:hAnsi="Arial" w:hint="default"/>
      </w:rPr>
    </w:lvl>
    <w:lvl w:ilvl="6" w:tplc="124413C0" w:tentative="1">
      <w:start w:val="1"/>
      <w:numFmt w:val="bullet"/>
      <w:lvlText w:val="•"/>
      <w:lvlJc w:val="left"/>
      <w:pPr>
        <w:tabs>
          <w:tab w:val="num" w:pos="5040"/>
        </w:tabs>
        <w:ind w:left="5040" w:hanging="360"/>
      </w:pPr>
      <w:rPr>
        <w:rFonts w:ascii="Arial" w:hAnsi="Arial" w:hint="default"/>
      </w:rPr>
    </w:lvl>
    <w:lvl w:ilvl="7" w:tplc="3210D58C" w:tentative="1">
      <w:start w:val="1"/>
      <w:numFmt w:val="bullet"/>
      <w:lvlText w:val="•"/>
      <w:lvlJc w:val="left"/>
      <w:pPr>
        <w:tabs>
          <w:tab w:val="num" w:pos="5760"/>
        </w:tabs>
        <w:ind w:left="5760" w:hanging="360"/>
      </w:pPr>
      <w:rPr>
        <w:rFonts w:ascii="Arial" w:hAnsi="Arial" w:hint="default"/>
      </w:rPr>
    </w:lvl>
    <w:lvl w:ilvl="8" w:tplc="19B8F8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01C87"/>
    <w:multiLevelType w:val="multilevel"/>
    <w:tmpl w:val="4A482B06"/>
    <w:lvl w:ilvl="0">
      <w:start w:val="1"/>
      <w:numFmt w:val="decimal"/>
      <w:lvlText w:val="%1."/>
      <w:lvlJc w:val="left"/>
      <w:pPr>
        <w:ind w:left="360" w:hanging="360"/>
      </w:pPr>
      <w:rPr>
        <w:rFonts w:hint="default"/>
      </w:rPr>
    </w:lvl>
    <w:lvl w:ilvl="1">
      <w:start w:val="1"/>
      <w:numFmt w:val="decimal"/>
      <w:lvlText w:val="%1.%2."/>
      <w:lvlJc w:val="left"/>
      <w:pPr>
        <w:ind w:left="3949" w:hanging="360"/>
      </w:pPr>
      <w:rPr>
        <w:rFonts w:hint="default"/>
      </w:rPr>
    </w:lvl>
    <w:lvl w:ilvl="2">
      <w:start w:val="1"/>
      <w:numFmt w:val="decimal"/>
      <w:lvlText w:val="%1.%2.%3."/>
      <w:lvlJc w:val="left"/>
      <w:pPr>
        <w:ind w:left="7898" w:hanging="720"/>
      </w:pPr>
      <w:rPr>
        <w:rFonts w:hint="default"/>
      </w:rPr>
    </w:lvl>
    <w:lvl w:ilvl="3">
      <w:start w:val="1"/>
      <w:numFmt w:val="decimal"/>
      <w:lvlText w:val="%1.%2.%3.%4."/>
      <w:lvlJc w:val="left"/>
      <w:pPr>
        <w:ind w:left="11487" w:hanging="720"/>
      </w:pPr>
      <w:rPr>
        <w:rFonts w:hint="default"/>
      </w:rPr>
    </w:lvl>
    <w:lvl w:ilvl="4">
      <w:start w:val="1"/>
      <w:numFmt w:val="decimal"/>
      <w:lvlText w:val="%1.%2.%3.%4.%5."/>
      <w:lvlJc w:val="left"/>
      <w:pPr>
        <w:ind w:left="15436" w:hanging="1080"/>
      </w:pPr>
      <w:rPr>
        <w:rFonts w:hint="default"/>
      </w:rPr>
    </w:lvl>
    <w:lvl w:ilvl="5">
      <w:start w:val="1"/>
      <w:numFmt w:val="decimal"/>
      <w:lvlText w:val="%1.%2.%3.%4.%5.%6."/>
      <w:lvlJc w:val="left"/>
      <w:pPr>
        <w:ind w:left="19025" w:hanging="1080"/>
      </w:pPr>
      <w:rPr>
        <w:rFonts w:hint="default"/>
      </w:rPr>
    </w:lvl>
    <w:lvl w:ilvl="6">
      <w:start w:val="1"/>
      <w:numFmt w:val="decimal"/>
      <w:lvlText w:val="%1.%2.%3.%4.%5.%6.%7."/>
      <w:lvlJc w:val="left"/>
      <w:pPr>
        <w:ind w:left="22974" w:hanging="1440"/>
      </w:pPr>
      <w:rPr>
        <w:rFonts w:hint="default"/>
      </w:rPr>
    </w:lvl>
    <w:lvl w:ilvl="7">
      <w:start w:val="1"/>
      <w:numFmt w:val="decimal"/>
      <w:lvlText w:val="%1.%2.%3.%4.%5.%6.%7.%8."/>
      <w:lvlJc w:val="left"/>
      <w:pPr>
        <w:ind w:left="26563" w:hanging="1440"/>
      </w:pPr>
      <w:rPr>
        <w:rFonts w:hint="default"/>
      </w:rPr>
    </w:lvl>
    <w:lvl w:ilvl="8">
      <w:start w:val="1"/>
      <w:numFmt w:val="decimal"/>
      <w:lvlText w:val="%1.%2.%3.%4.%5.%6.%7.%8.%9."/>
      <w:lvlJc w:val="left"/>
      <w:pPr>
        <w:ind w:left="30512" w:hanging="1800"/>
      </w:pPr>
      <w:rPr>
        <w:rFonts w:hint="default"/>
      </w:rPr>
    </w:lvl>
  </w:abstractNum>
  <w:abstractNum w:abstractNumId="2" w15:restartNumberingAfterBreak="0">
    <w:nsid w:val="0DA7701A"/>
    <w:multiLevelType w:val="hybridMultilevel"/>
    <w:tmpl w:val="D9E009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A91507"/>
    <w:multiLevelType w:val="hybridMultilevel"/>
    <w:tmpl w:val="98D489E6"/>
    <w:lvl w:ilvl="0" w:tplc="A08A5B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E64092"/>
    <w:multiLevelType w:val="hybridMultilevel"/>
    <w:tmpl w:val="B0E85BF4"/>
    <w:lvl w:ilvl="0" w:tplc="176A843A">
      <w:start w:val="1"/>
      <w:numFmt w:val="bullet"/>
      <w:lvlText w:val="•"/>
      <w:lvlJc w:val="left"/>
      <w:pPr>
        <w:tabs>
          <w:tab w:val="num" w:pos="720"/>
        </w:tabs>
        <w:ind w:left="720" w:hanging="360"/>
      </w:pPr>
      <w:rPr>
        <w:rFonts w:ascii="Arial" w:hAnsi="Arial" w:hint="default"/>
      </w:rPr>
    </w:lvl>
    <w:lvl w:ilvl="1" w:tplc="0340EF68" w:tentative="1">
      <w:start w:val="1"/>
      <w:numFmt w:val="bullet"/>
      <w:lvlText w:val="•"/>
      <w:lvlJc w:val="left"/>
      <w:pPr>
        <w:tabs>
          <w:tab w:val="num" w:pos="1440"/>
        </w:tabs>
        <w:ind w:left="1440" w:hanging="360"/>
      </w:pPr>
      <w:rPr>
        <w:rFonts w:ascii="Arial" w:hAnsi="Arial" w:hint="default"/>
      </w:rPr>
    </w:lvl>
    <w:lvl w:ilvl="2" w:tplc="25C2ED00" w:tentative="1">
      <w:start w:val="1"/>
      <w:numFmt w:val="bullet"/>
      <w:lvlText w:val="•"/>
      <w:lvlJc w:val="left"/>
      <w:pPr>
        <w:tabs>
          <w:tab w:val="num" w:pos="2160"/>
        </w:tabs>
        <w:ind w:left="2160" w:hanging="360"/>
      </w:pPr>
      <w:rPr>
        <w:rFonts w:ascii="Arial" w:hAnsi="Arial" w:hint="default"/>
      </w:rPr>
    </w:lvl>
    <w:lvl w:ilvl="3" w:tplc="BBDA500C" w:tentative="1">
      <w:start w:val="1"/>
      <w:numFmt w:val="bullet"/>
      <w:lvlText w:val="•"/>
      <w:lvlJc w:val="left"/>
      <w:pPr>
        <w:tabs>
          <w:tab w:val="num" w:pos="2880"/>
        </w:tabs>
        <w:ind w:left="2880" w:hanging="360"/>
      </w:pPr>
      <w:rPr>
        <w:rFonts w:ascii="Arial" w:hAnsi="Arial" w:hint="default"/>
      </w:rPr>
    </w:lvl>
    <w:lvl w:ilvl="4" w:tplc="39864D28" w:tentative="1">
      <w:start w:val="1"/>
      <w:numFmt w:val="bullet"/>
      <w:lvlText w:val="•"/>
      <w:lvlJc w:val="left"/>
      <w:pPr>
        <w:tabs>
          <w:tab w:val="num" w:pos="3600"/>
        </w:tabs>
        <w:ind w:left="3600" w:hanging="360"/>
      </w:pPr>
      <w:rPr>
        <w:rFonts w:ascii="Arial" w:hAnsi="Arial" w:hint="default"/>
      </w:rPr>
    </w:lvl>
    <w:lvl w:ilvl="5" w:tplc="8F1C8E16" w:tentative="1">
      <w:start w:val="1"/>
      <w:numFmt w:val="bullet"/>
      <w:lvlText w:val="•"/>
      <w:lvlJc w:val="left"/>
      <w:pPr>
        <w:tabs>
          <w:tab w:val="num" w:pos="4320"/>
        </w:tabs>
        <w:ind w:left="4320" w:hanging="360"/>
      </w:pPr>
      <w:rPr>
        <w:rFonts w:ascii="Arial" w:hAnsi="Arial" w:hint="default"/>
      </w:rPr>
    </w:lvl>
    <w:lvl w:ilvl="6" w:tplc="7FC0514A" w:tentative="1">
      <w:start w:val="1"/>
      <w:numFmt w:val="bullet"/>
      <w:lvlText w:val="•"/>
      <w:lvlJc w:val="left"/>
      <w:pPr>
        <w:tabs>
          <w:tab w:val="num" w:pos="5040"/>
        </w:tabs>
        <w:ind w:left="5040" w:hanging="360"/>
      </w:pPr>
      <w:rPr>
        <w:rFonts w:ascii="Arial" w:hAnsi="Arial" w:hint="default"/>
      </w:rPr>
    </w:lvl>
    <w:lvl w:ilvl="7" w:tplc="FAFC21F0" w:tentative="1">
      <w:start w:val="1"/>
      <w:numFmt w:val="bullet"/>
      <w:lvlText w:val="•"/>
      <w:lvlJc w:val="left"/>
      <w:pPr>
        <w:tabs>
          <w:tab w:val="num" w:pos="5760"/>
        </w:tabs>
        <w:ind w:left="5760" w:hanging="360"/>
      </w:pPr>
      <w:rPr>
        <w:rFonts w:ascii="Arial" w:hAnsi="Arial" w:hint="default"/>
      </w:rPr>
    </w:lvl>
    <w:lvl w:ilvl="8" w:tplc="7834E5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A270F7"/>
    <w:multiLevelType w:val="hybridMultilevel"/>
    <w:tmpl w:val="FF201856"/>
    <w:lvl w:ilvl="0" w:tplc="2108A2C0">
      <w:start w:val="1"/>
      <w:numFmt w:val="decimal"/>
      <w:pStyle w:val="1"/>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B2E74"/>
    <w:multiLevelType w:val="hybridMultilevel"/>
    <w:tmpl w:val="F3AE2324"/>
    <w:lvl w:ilvl="0" w:tplc="746A7EB6">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573EF0"/>
    <w:multiLevelType w:val="hybridMultilevel"/>
    <w:tmpl w:val="9BC42FEA"/>
    <w:lvl w:ilvl="0" w:tplc="8F4A9EA2">
      <w:start w:val="1"/>
      <w:numFmt w:val="bullet"/>
      <w:lvlText w:val="•"/>
      <w:lvlJc w:val="left"/>
      <w:pPr>
        <w:tabs>
          <w:tab w:val="num" w:pos="720"/>
        </w:tabs>
        <w:ind w:left="720" w:hanging="360"/>
      </w:pPr>
      <w:rPr>
        <w:rFonts w:ascii="Arial" w:hAnsi="Arial" w:hint="default"/>
      </w:rPr>
    </w:lvl>
    <w:lvl w:ilvl="1" w:tplc="4380F5B8" w:tentative="1">
      <w:start w:val="1"/>
      <w:numFmt w:val="bullet"/>
      <w:lvlText w:val="•"/>
      <w:lvlJc w:val="left"/>
      <w:pPr>
        <w:tabs>
          <w:tab w:val="num" w:pos="1440"/>
        </w:tabs>
        <w:ind w:left="1440" w:hanging="360"/>
      </w:pPr>
      <w:rPr>
        <w:rFonts w:ascii="Arial" w:hAnsi="Arial" w:hint="default"/>
      </w:rPr>
    </w:lvl>
    <w:lvl w:ilvl="2" w:tplc="565A529E" w:tentative="1">
      <w:start w:val="1"/>
      <w:numFmt w:val="bullet"/>
      <w:lvlText w:val="•"/>
      <w:lvlJc w:val="left"/>
      <w:pPr>
        <w:tabs>
          <w:tab w:val="num" w:pos="2160"/>
        </w:tabs>
        <w:ind w:left="2160" w:hanging="360"/>
      </w:pPr>
      <w:rPr>
        <w:rFonts w:ascii="Arial" w:hAnsi="Arial" w:hint="default"/>
      </w:rPr>
    </w:lvl>
    <w:lvl w:ilvl="3" w:tplc="F656C6E4" w:tentative="1">
      <w:start w:val="1"/>
      <w:numFmt w:val="bullet"/>
      <w:lvlText w:val="•"/>
      <w:lvlJc w:val="left"/>
      <w:pPr>
        <w:tabs>
          <w:tab w:val="num" w:pos="2880"/>
        </w:tabs>
        <w:ind w:left="2880" w:hanging="360"/>
      </w:pPr>
      <w:rPr>
        <w:rFonts w:ascii="Arial" w:hAnsi="Arial" w:hint="default"/>
      </w:rPr>
    </w:lvl>
    <w:lvl w:ilvl="4" w:tplc="AE5C9F8C" w:tentative="1">
      <w:start w:val="1"/>
      <w:numFmt w:val="bullet"/>
      <w:lvlText w:val="•"/>
      <w:lvlJc w:val="left"/>
      <w:pPr>
        <w:tabs>
          <w:tab w:val="num" w:pos="3600"/>
        </w:tabs>
        <w:ind w:left="3600" w:hanging="360"/>
      </w:pPr>
      <w:rPr>
        <w:rFonts w:ascii="Arial" w:hAnsi="Arial" w:hint="default"/>
      </w:rPr>
    </w:lvl>
    <w:lvl w:ilvl="5" w:tplc="2946E98A" w:tentative="1">
      <w:start w:val="1"/>
      <w:numFmt w:val="bullet"/>
      <w:lvlText w:val="•"/>
      <w:lvlJc w:val="left"/>
      <w:pPr>
        <w:tabs>
          <w:tab w:val="num" w:pos="4320"/>
        </w:tabs>
        <w:ind w:left="4320" w:hanging="360"/>
      </w:pPr>
      <w:rPr>
        <w:rFonts w:ascii="Arial" w:hAnsi="Arial" w:hint="default"/>
      </w:rPr>
    </w:lvl>
    <w:lvl w:ilvl="6" w:tplc="170A3372" w:tentative="1">
      <w:start w:val="1"/>
      <w:numFmt w:val="bullet"/>
      <w:lvlText w:val="•"/>
      <w:lvlJc w:val="left"/>
      <w:pPr>
        <w:tabs>
          <w:tab w:val="num" w:pos="5040"/>
        </w:tabs>
        <w:ind w:left="5040" w:hanging="360"/>
      </w:pPr>
      <w:rPr>
        <w:rFonts w:ascii="Arial" w:hAnsi="Arial" w:hint="default"/>
      </w:rPr>
    </w:lvl>
    <w:lvl w:ilvl="7" w:tplc="E8DCC3BA" w:tentative="1">
      <w:start w:val="1"/>
      <w:numFmt w:val="bullet"/>
      <w:lvlText w:val="•"/>
      <w:lvlJc w:val="left"/>
      <w:pPr>
        <w:tabs>
          <w:tab w:val="num" w:pos="5760"/>
        </w:tabs>
        <w:ind w:left="5760" w:hanging="360"/>
      </w:pPr>
      <w:rPr>
        <w:rFonts w:ascii="Arial" w:hAnsi="Arial" w:hint="default"/>
      </w:rPr>
    </w:lvl>
    <w:lvl w:ilvl="8" w:tplc="6ABAF9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E77652"/>
    <w:multiLevelType w:val="hybridMultilevel"/>
    <w:tmpl w:val="0158EFEC"/>
    <w:lvl w:ilvl="0" w:tplc="FAF658CE">
      <w:numFmt w:val="bullet"/>
      <w:lvlText w:val="•"/>
      <w:lvlJc w:val="left"/>
      <w:pPr>
        <w:ind w:left="1779" w:hanging="71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6C2FF7"/>
    <w:multiLevelType w:val="hybridMultilevel"/>
    <w:tmpl w:val="DA68890A"/>
    <w:lvl w:ilvl="0" w:tplc="ACF2508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D63D9E"/>
    <w:multiLevelType w:val="hybridMultilevel"/>
    <w:tmpl w:val="DD989BC8"/>
    <w:lvl w:ilvl="0" w:tplc="70C0025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6605BE4"/>
    <w:multiLevelType w:val="multilevel"/>
    <w:tmpl w:val="1D3AA982"/>
    <w:lvl w:ilvl="0">
      <w:start w:val="3"/>
      <w:numFmt w:val="decimal"/>
      <w:lvlText w:val="%1."/>
      <w:lvlJc w:val="left"/>
      <w:pPr>
        <w:ind w:left="360" w:hanging="360"/>
      </w:pPr>
      <w:rPr>
        <w:rFonts w:hint="default"/>
      </w:rPr>
    </w:lvl>
    <w:lvl w:ilvl="1">
      <w:start w:val="1"/>
      <w:numFmt w:val="decimal"/>
      <w:lvlText w:val="%1.%2."/>
      <w:lvlJc w:val="left"/>
      <w:pPr>
        <w:ind w:left="11847" w:hanging="360"/>
      </w:pPr>
      <w:rPr>
        <w:rFonts w:hint="default"/>
      </w:rPr>
    </w:lvl>
    <w:lvl w:ilvl="2">
      <w:start w:val="1"/>
      <w:numFmt w:val="decimal"/>
      <w:lvlText w:val="%1.%2.%3."/>
      <w:lvlJc w:val="left"/>
      <w:pPr>
        <w:ind w:left="23694" w:hanging="720"/>
      </w:pPr>
      <w:rPr>
        <w:rFonts w:hint="default"/>
      </w:rPr>
    </w:lvl>
    <w:lvl w:ilvl="3">
      <w:start w:val="1"/>
      <w:numFmt w:val="decimal"/>
      <w:lvlText w:val="%1.%2.%3.%4."/>
      <w:lvlJc w:val="left"/>
      <w:pPr>
        <w:ind w:left="-30355" w:hanging="720"/>
      </w:pPr>
      <w:rPr>
        <w:rFonts w:hint="default"/>
      </w:rPr>
    </w:lvl>
    <w:lvl w:ilvl="4">
      <w:start w:val="1"/>
      <w:numFmt w:val="decimal"/>
      <w:lvlText w:val="%1.%2.%3.%4.%5."/>
      <w:lvlJc w:val="left"/>
      <w:pPr>
        <w:ind w:left="-18508" w:hanging="1080"/>
      </w:pPr>
      <w:rPr>
        <w:rFonts w:hint="default"/>
      </w:rPr>
    </w:lvl>
    <w:lvl w:ilvl="5">
      <w:start w:val="1"/>
      <w:numFmt w:val="decimal"/>
      <w:lvlText w:val="%1.%2.%3.%4.%5.%6."/>
      <w:lvlJc w:val="left"/>
      <w:pPr>
        <w:ind w:left="-7021" w:hanging="1080"/>
      </w:pPr>
      <w:rPr>
        <w:rFonts w:hint="default"/>
      </w:rPr>
    </w:lvl>
    <w:lvl w:ilvl="6">
      <w:start w:val="1"/>
      <w:numFmt w:val="decimal"/>
      <w:lvlText w:val="%1.%2.%3.%4.%5.%6.%7."/>
      <w:lvlJc w:val="left"/>
      <w:pPr>
        <w:ind w:left="4826" w:hanging="1440"/>
      </w:pPr>
      <w:rPr>
        <w:rFonts w:hint="default"/>
      </w:rPr>
    </w:lvl>
    <w:lvl w:ilvl="7">
      <w:start w:val="1"/>
      <w:numFmt w:val="decimal"/>
      <w:lvlText w:val="%1.%2.%3.%4.%5.%6.%7.%8."/>
      <w:lvlJc w:val="left"/>
      <w:pPr>
        <w:ind w:left="16313" w:hanging="1440"/>
      </w:pPr>
      <w:rPr>
        <w:rFonts w:hint="default"/>
      </w:rPr>
    </w:lvl>
    <w:lvl w:ilvl="8">
      <w:start w:val="1"/>
      <w:numFmt w:val="decimal"/>
      <w:lvlText w:val="%1.%2.%3.%4.%5.%6.%7.%8.%9."/>
      <w:lvlJc w:val="left"/>
      <w:pPr>
        <w:ind w:left="28160" w:hanging="1800"/>
      </w:pPr>
      <w:rPr>
        <w:rFonts w:hint="default"/>
      </w:rPr>
    </w:lvl>
  </w:abstractNum>
  <w:abstractNum w:abstractNumId="12" w15:restartNumberingAfterBreak="0">
    <w:nsid w:val="281E38A2"/>
    <w:multiLevelType w:val="hybridMultilevel"/>
    <w:tmpl w:val="C7D0326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B284879"/>
    <w:multiLevelType w:val="hybridMultilevel"/>
    <w:tmpl w:val="FA0682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E4C55F2"/>
    <w:multiLevelType w:val="hybridMultilevel"/>
    <w:tmpl w:val="F6445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ED43DA"/>
    <w:multiLevelType w:val="hybridMultilevel"/>
    <w:tmpl w:val="834EE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BF02D5"/>
    <w:multiLevelType w:val="hybridMultilevel"/>
    <w:tmpl w:val="9064B886"/>
    <w:lvl w:ilvl="0" w:tplc="9AEA8E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255CF8"/>
    <w:multiLevelType w:val="hybridMultilevel"/>
    <w:tmpl w:val="C6E4B1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475084"/>
    <w:multiLevelType w:val="hybridMultilevel"/>
    <w:tmpl w:val="9D7C0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7F4327"/>
    <w:multiLevelType w:val="hybridMultilevel"/>
    <w:tmpl w:val="CE064880"/>
    <w:lvl w:ilvl="0" w:tplc="BB88EDE6">
      <w:start w:val="1"/>
      <w:numFmt w:val="bullet"/>
      <w:lvlText w:val="•"/>
      <w:lvlJc w:val="left"/>
      <w:pPr>
        <w:tabs>
          <w:tab w:val="num" w:pos="720"/>
        </w:tabs>
        <w:ind w:left="720" w:hanging="360"/>
      </w:pPr>
      <w:rPr>
        <w:rFonts w:ascii="Arial" w:hAnsi="Arial" w:hint="default"/>
      </w:rPr>
    </w:lvl>
    <w:lvl w:ilvl="1" w:tplc="2542A126" w:tentative="1">
      <w:start w:val="1"/>
      <w:numFmt w:val="bullet"/>
      <w:lvlText w:val="•"/>
      <w:lvlJc w:val="left"/>
      <w:pPr>
        <w:tabs>
          <w:tab w:val="num" w:pos="1440"/>
        </w:tabs>
        <w:ind w:left="1440" w:hanging="360"/>
      </w:pPr>
      <w:rPr>
        <w:rFonts w:ascii="Arial" w:hAnsi="Arial" w:hint="default"/>
      </w:rPr>
    </w:lvl>
    <w:lvl w:ilvl="2" w:tplc="A1748D38" w:tentative="1">
      <w:start w:val="1"/>
      <w:numFmt w:val="bullet"/>
      <w:lvlText w:val="•"/>
      <w:lvlJc w:val="left"/>
      <w:pPr>
        <w:tabs>
          <w:tab w:val="num" w:pos="2160"/>
        </w:tabs>
        <w:ind w:left="2160" w:hanging="360"/>
      </w:pPr>
      <w:rPr>
        <w:rFonts w:ascii="Arial" w:hAnsi="Arial" w:hint="default"/>
      </w:rPr>
    </w:lvl>
    <w:lvl w:ilvl="3" w:tplc="391A2DD4" w:tentative="1">
      <w:start w:val="1"/>
      <w:numFmt w:val="bullet"/>
      <w:lvlText w:val="•"/>
      <w:lvlJc w:val="left"/>
      <w:pPr>
        <w:tabs>
          <w:tab w:val="num" w:pos="2880"/>
        </w:tabs>
        <w:ind w:left="2880" w:hanging="360"/>
      </w:pPr>
      <w:rPr>
        <w:rFonts w:ascii="Arial" w:hAnsi="Arial" w:hint="default"/>
      </w:rPr>
    </w:lvl>
    <w:lvl w:ilvl="4" w:tplc="7994B004" w:tentative="1">
      <w:start w:val="1"/>
      <w:numFmt w:val="bullet"/>
      <w:lvlText w:val="•"/>
      <w:lvlJc w:val="left"/>
      <w:pPr>
        <w:tabs>
          <w:tab w:val="num" w:pos="3600"/>
        </w:tabs>
        <w:ind w:left="3600" w:hanging="360"/>
      </w:pPr>
      <w:rPr>
        <w:rFonts w:ascii="Arial" w:hAnsi="Arial" w:hint="default"/>
      </w:rPr>
    </w:lvl>
    <w:lvl w:ilvl="5" w:tplc="030E6F22" w:tentative="1">
      <w:start w:val="1"/>
      <w:numFmt w:val="bullet"/>
      <w:lvlText w:val="•"/>
      <w:lvlJc w:val="left"/>
      <w:pPr>
        <w:tabs>
          <w:tab w:val="num" w:pos="4320"/>
        </w:tabs>
        <w:ind w:left="4320" w:hanging="360"/>
      </w:pPr>
      <w:rPr>
        <w:rFonts w:ascii="Arial" w:hAnsi="Arial" w:hint="default"/>
      </w:rPr>
    </w:lvl>
    <w:lvl w:ilvl="6" w:tplc="E956099C" w:tentative="1">
      <w:start w:val="1"/>
      <w:numFmt w:val="bullet"/>
      <w:lvlText w:val="•"/>
      <w:lvlJc w:val="left"/>
      <w:pPr>
        <w:tabs>
          <w:tab w:val="num" w:pos="5040"/>
        </w:tabs>
        <w:ind w:left="5040" w:hanging="360"/>
      </w:pPr>
      <w:rPr>
        <w:rFonts w:ascii="Arial" w:hAnsi="Arial" w:hint="default"/>
      </w:rPr>
    </w:lvl>
    <w:lvl w:ilvl="7" w:tplc="2528D384" w:tentative="1">
      <w:start w:val="1"/>
      <w:numFmt w:val="bullet"/>
      <w:lvlText w:val="•"/>
      <w:lvlJc w:val="left"/>
      <w:pPr>
        <w:tabs>
          <w:tab w:val="num" w:pos="5760"/>
        </w:tabs>
        <w:ind w:left="5760" w:hanging="360"/>
      </w:pPr>
      <w:rPr>
        <w:rFonts w:ascii="Arial" w:hAnsi="Arial" w:hint="default"/>
      </w:rPr>
    </w:lvl>
    <w:lvl w:ilvl="8" w:tplc="094CEEF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141DE1"/>
    <w:multiLevelType w:val="hybridMultilevel"/>
    <w:tmpl w:val="651A0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FEEAEF2C">
      <w:start w:val="1"/>
      <w:numFmt w:val="decimal"/>
      <w:lvlText w:val="%3."/>
      <w:lvlJc w:val="right"/>
      <w:pPr>
        <w:ind w:left="889" w:hanging="180"/>
      </w:pPr>
      <w:rPr>
        <w:rFonts w:asciiTheme="minorHAnsi" w:eastAsiaTheme="minorHAnsi" w:hAnsiTheme="minorHAnsi" w:cstheme="minorBidi"/>
      </w:r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B1A3D63"/>
    <w:multiLevelType w:val="hybridMultilevel"/>
    <w:tmpl w:val="5C1612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4A64F8"/>
    <w:multiLevelType w:val="hybridMultilevel"/>
    <w:tmpl w:val="2F485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B5345B"/>
    <w:multiLevelType w:val="hybridMultilevel"/>
    <w:tmpl w:val="8DAA4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6A3160"/>
    <w:multiLevelType w:val="hybridMultilevel"/>
    <w:tmpl w:val="DF822E5A"/>
    <w:lvl w:ilvl="0" w:tplc="9EC0AAFA">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5A34F7"/>
    <w:multiLevelType w:val="hybridMultilevel"/>
    <w:tmpl w:val="70562C1A"/>
    <w:lvl w:ilvl="0" w:tplc="0419000F">
      <w:start w:val="1"/>
      <w:numFmt w:val="decimal"/>
      <w:lvlText w:val="%1."/>
      <w:lvlJc w:val="left"/>
      <w:pPr>
        <w:ind w:left="1491" w:hanging="360"/>
      </w:pPr>
    </w:lvl>
    <w:lvl w:ilvl="1" w:tplc="04190019" w:tentative="1">
      <w:start w:val="1"/>
      <w:numFmt w:val="lowerLetter"/>
      <w:lvlText w:val="%2."/>
      <w:lvlJc w:val="left"/>
      <w:pPr>
        <w:ind w:left="2211" w:hanging="360"/>
      </w:pPr>
    </w:lvl>
    <w:lvl w:ilvl="2" w:tplc="0419001B" w:tentative="1">
      <w:start w:val="1"/>
      <w:numFmt w:val="lowerRoman"/>
      <w:lvlText w:val="%3."/>
      <w:lvlJc w:val="right"/>
      <w:pPr>
        <w:ind w:left="2931" w:hanging="180"/>
      </w:pPr>
    </w:lvl>
    <w:lvl w:ilvl="3" w:tplc="0419000F" w:tentative="1">
      <w:start w:val="1"/>
      <w:numFmt w:val="decimal"/>
      <w:lvlText w:val="%4."/>
      <w:lvlJc w:val="left"/>
      <w:pPr>
        <w:ind w:left="3651" w:hanging="360"/>
      </w:pPr>
    </w:lvl>
    <w:lvl w:ilvl="4" w:tplc="04190019" w:tentative="1">
      <w:start w:val="1"/>
      <w:numFmt w:val="lowerLetter"/>
      <w:lvlText w:val="%5."/>
      <w:lvlJc w:val="left"/>
      <w:pPr>
        <w:ind w:left="4371" w:hanging="360"/>
      </w:pPr>
    </w:lvl>
    <w:lvl w:ilvl="5" w:tplc="0419001B" w:tentative="1">
      <w:start w:val="1"/>
      <w:numFmt w:val="lowerRoman"/>
      <w:lvlText w:val="%6."/>
      <w:lvlJc w:val="right"/>
      <w:pPr>
        <w:ind w:left="5091" w:hanging="180"/>
      </w:pPr>
    </w:lvl>
    <w:lvl w:ilvl="6" w:tplc="0419000F" w:tentative="1">
      <w:start w:val="1"/>
      <w:numFmt w:val="decimal"/>
      <w:lvlText w:val="%7."/>
      <w:lvlJc w:val="left"/>
      <w:pPr>
        <w:ind w:left="5811" w:hanging="360"/>
      </w:pPr>
    </w:lvl>
    <w:lvl w:ilvl="7" w:tplc="04190019" w:tentative="1">
      <w:start w:val="1"/>
      <w:numFmt w:val="lowerLetter"/>
      <w:lvlText w:val="%8."/>
      <w:lvlJc w:val="left"/>
      <w:pPr>
        <w:ind w:left="6531" w:hanging="360"/>
      </w:pPr>
    </w:lvl>
    <w:lvl w:ilvl="8" w:tplc="0419001B" w:tentative="1">
      <w:start w:val="1"/>
      <w:numFmt w:val="lowerRoman"/>
      <w:lvlText w:val="%9."/>
      <w:lvlJc w:val="right"/>
      <w:pPr>
        <w:ind w:left="7251" w:hanging="180"/>
      </w:pPr>
    </w:lvl>
  </w:abstractNum>
  <w:abstractNum w:abstractNumId="26" w15:restartNumberingAfterBreak="0">
    <w:nsid w:val="60B13E25"/>
    <w:multiLevelType w:val="hybridMultilevel"/>
    <w:tmpl w:val="954E64B4"/>
    <w:lvl w:ilvl="0" w:tplc="FAF658CE">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83220E9"/>
    <w:multiLevelType w:val="hybridMultilevel"/>
    <w:tmpl w:val="98209DF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E463E8C"/>
    <w:multiLevelType w:val="hybridMultilevel"/>
    <w:tmpl w:val="69066B46"/>
    <w:lvl w:ilvl="0" w:tplc="FAF658CE">
      <w:numFmt w:val="bullet"/>
      <w:lvlText w:val="•"/>
      <w:lvlJc w:val="left"/>
      <w:pPr>
        <w:ind w:left="1070" w:hanging="71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BC2763"/>
    <w:multiLevelType w:val="hybridMultilevel"/>
    <w:tmpl w:val="99748D94"/>
    <w:lvl w:ilvl="0" w:tplc="128E351C">
      <w:start w:val="1"/>
      <w:numFmt w:val="bullet"/>
      <w:lvlText w:val="•"/>
      <w:lvlJc w:val="left"/>
      <w:pPr>
        <w:tabs>
          <w:tab w:val="num" w:pos="720"/>
        </w:tabs>
        <w:ind w:left="720" w:hanging="360"/>
      </w:pPr>
      <w:rPr>
        <w:rFonts w:ascii="Arial" w:hAnsi="Arial" w:hint="default"/>
      </w:rPr>
    </w:lvl>
    <w:lvl w:ilvl="1" w:tplc="0526CAE0" w:tentative="1">
      <w:start w:val="1"/>
      <w:numFmt w:val="bullet"/>
      <w:lvlText w:val="•"/>
      <w:lvlJc w:val="left"/>
      <w:pPr>
        <w:tabs>
          <w:tab w:val="num" w:pos="1440"/>
        </w:tabs>
        <w:ind w:left="1440" w:hanging="360"/>
      </w:pPr>
      <w:rPr>
        <w:rFonts w:ascii="Arial" w:hAnsi="Arial" w:hint="default"/>
      </w:rPr>
    </w:lvl>
    <w:lvl w:ilvl="2" w:tplc="89A62AD2" w:tentative="1">
      <w:start w:val="1"/>
      <w:numFmt w:val="bullet"/>
      <w:lvlText w:val="•"/>
      <w:lvlJc w:val="left"/>
      <w:pPr>
        <w:tabs>
          <w:tab w:val="num" w:pos="2160"/>
        </w:tabs>
        <w:ind w:left="2160" w:hanging="360"/>
      </w:pPr>
      <w:rPr>
        <w:rFonts w:ascii="Arial" w:hAnsi="Arial" w:hint="default"/>
      </w:rPr>
    </w:lvl>
    <w:lvl w:ilvl="3" w:tplc="1024B0B2" w:tentative="1">
      <w:start w:val="1"/>
      <w:numFmt w:val="bullet"/>
      <w:lvlText w:val="•"/>
      <w:lvlJc w:val="left"/>
      <w:pPr>
        <w:tabs>
          <w:tab w:val="num" w:pos="2880"/>
        </w:tabs>
        <w:ind w:left="2880" w:hanging="360"/>
      </w:pPr>
      <w:rPr>
        <w:rFonts w:ascii="Arial" w:hAnsi="Arial" w:hint="default"/>
      </w:rPr>
    </w:lvl>
    <w:lvl w:ilvl="4" w:tplc="1DE07820" w:tentative="1">
      <w:start w:val="1"/>
      <w:numFmt w:val="bullet"/>
      <w:lvlText w:val="•"/>
      <w:lvlJc w:val="left"/>
      <w:pPr>
        <w:tabs>
          <w:tab w:val="num" w:pos="3600"/>
        </w:tabs>
        <w:ind w:left="3600" w:hanging="360"/>
      </w:pPr>
      <w:rPr>
        <w:rFonts w:ascii="Arial" w:hAnsi="Arial" w:hint="default"/>
      </w:rPr>
    </w:lvl>
    <w:lvl w:ilvl="5" w:tplc="F02C708A" w:tentative="1">
      <w:start w:val="1"/>
      <w:numFmt w:val="bullet"/>
      <w:lvlText w:val="•"/>
      <w:lvlJc w:val="left"/>
      <w:pPr>
        <w:tabs>
          <w:tab w:val="num" w:pos="4320"/>
        </w:tabs>
        <w:ind w:left="4320" w:hanging="360"/>
      </w:pPr>
      <w:rPr>
        <w:rFonts w:ascii="Arial" w:hAnsi="Arial" w:hint="default"/>
      </w:rPr>
    </w:lvl>
    <w:lvl w:ilvl="6" w:tplc="CFAEEB1E" w:tentative="1">
      <w:start w:val="1"/>
      <w:numFmt w:val="bullet"/>
      <w:lvlText w:val="•"/>
      <w:lvlJc w:val="left"/>
      <w:pPr>
        <w:tabs>
          <w:tab w:val="num" w:pos="5040"/>
        </w:tabs>
        <w:ind w:left="5040" w:hanging="360"/>
      </w:pPr>
      <w:rPr>
        <w:rFonts w:ascii="Arial" w:hAnsi="Arial" w:hint="default"/>
      </w:rPr>
    </w:lvl>
    <w:lvl w:ilvl="7" w:tplc="88BE7C64" w:tentative="1">
      <w:start w:val="1"/>
      <w:numFmt w:val="bullet"/>
      <w:lvlText w:val="•"/>
      <w:lvlJc w:val="left"/>
      <w:pPr>
        <w:tabs>
          <w:tab w:val="num" w:pos="5760"/>
        </w:tabs>
        <w:ind w:left="5760" w:hanging="360"/>
      </w:pPr>
      <w:rPr>
        <w:rFonts w:ascii="Arial" w:hAnsi="Arial" w:hint="default"/>
      </w:rPr>
    </w:lvl>
    <w:lvl w:ilvl="8" w:tplc="8DFC906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4E64BF"/>
    <w:multiLevelType w:val="multilevel"/>
    <w:tmpl w:val="01766DB4"/>
    <w:lvl w:ilvl="0">
      <w:start w:val="1"/>
      <w:numFmt w:val="decimal"/>
      <w:lvlText w:val="%1."/>
      <w:lvlJc w:val="left"/>
      <w:pPr>
        <w:ind w:left="1429" w:hanging="360"/>
      </w:pPr>
    </w:lvl>
    <w:lvl w:ilvl="1">
      <w:start w:val="1"/>
      <w:numFmt w:val="decimal"/>
      <w:isLgl/>
      <w:lvlText w:val="%1.%2."/>
      <w:lvlJc w:val="left"/>
      <w:pPr>
        <w:ind w:left="1779" w:hanging="71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1" w15:restartNumberingAfterBreak="0">
    <w:nsid w:val="72ED503A"/>
    <w:multiLevelType w:val="hybridMultilevel"/>
    <w:tmpl w:val="B4825E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4693081"/>
    <w:multiLevelType w:val="hybridMultilevel"/>
    <w:tmpl w:val="F8346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4A664F"/>
    <w:multiLevelType w:val="hybridMultilevel"/>
    <w:tmpl w:val="7C5EA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4948F9"/>
    <w:multiLevelType w:val="multilevel"/>
    <w:tmpl w:val="524EDC8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7"/>
  </w:num>
  <w:num w:numId="2">
    <w:abstractNumId w:val="32"/>
  </w:num>
  <w:num w:numId="3">
    <w:abstractNumId w:val="23"/>
  </w:num>
  <w:num w:numId="4">
    <w:abstractNumId w:val="30"/>
  </w:num>
  <w:num w:numId="5">
    <w:abstractNumId w:val="28"/>
  </w:num>
  <w:num w:numId="6">
    <w:abstractNumId w:val="15"/>
  </w:num>
  <w:num w:numId="7">
    <w:abstractNumId w:val="13"/>
  </w:num>
  <w:num w:numId="8">
    <w:abstractNumId w:val="21"/>
  </w:num>
  <w:num w:numId="9">
    <w:abstractNumId w:val="2"/>
  </w:num>
  <w:num w:numId="10">
    <w:abstractNumId w:val="27"/>
  </w:num>
  <w:num w:numId="11">
    <w:abstractNumId w:val="14"/>
  </w:num>
  <w:num w:numId="12">
    <w:abstractNumId w:val="20"/>
  </w:num>
  <w:num w:numId="13">
    <w:abstractNumId w:val="1"/>
  </w:num>
  <w:num w:numId="14">
    <w:abstractNumId w:val="11"/>
  </w:num>
  <w:num w:numId="15">
    <w:abstractNumId w:val="34"/>
  </w:num>
  <w:num w:numId="16">
    <w:abstractNumId w:val="8"/>
  </w:num>
  <w:num w:numId="17">
    <w:abstractNumId w:val="26"/>
  </w:num>
  <w:num w:numId="18">
    <w:abstractNumId w:val="22"/>
  </w:num>
  <w:num w:numId="19">
    <w:abstractNumId w:val="3"/>
  </w:num>
  <w:num w:numId="20">
    <w:abstractNumId w:val="25"/>
  </w:num>
  <w:num w:numId="21">
    <w:abstractNumId w:val="12"/>
  </w:num>
  <w:num w:numId="22">
    <w:abstractNumId w:val="31"/>
  </w:num>
  <w:num w:numId="23">
    <w:abstractNumId w:val="5"/>
  </w:num>
  <w:num w:numId="24">
    <w:abstractNumId w:val="16"/>
  </w:num>
  <w:num w:numId="25">
    <w:abstractNumId w:val="18"/>
  </w:num>
  <w:num w:numId="26">
    <w:abstractNumId w:val="10"/>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33"/>
  </w:num>
  <w:num w:numId="35">
    <w:abstractNumId w:val="9"/>
  </w:num>
  <w:num w:numId="36">
    <w:abstractNumId w:val="24"/>
  </w:num>
  <w:num w:numId="37">
    <w:abstractNumId w:val="0"/>
  </w:num>
  <w:num w:numId="38">
    <w:abstractNumId w:val="7"/>
  </w:num>
  <w:num w:numId="39">
    <w:abstractNumId w:val="29"/>
  </w:num>
  <w:num w:numId="40">
    <w:abstractNumId w:val="4"/>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0AB"/>
    <w:rsid w:val="000005EE"/>
    <w:rsid w:val="00003CAC"/>
    <w:rsid w:val="00004DD8"/>
    <w:rsid w:val="000060D5"/>
    <w:rsid w:val="0001106C"/>
    <w:rsid w:val="000118D1"/>
    <w:rsid w:val="00015CB7"/>
    <w:rsid w:val="000227F9"/>
    <w:rsid w:val="00024272"/>
    <w:rsid w:val="00024CE8"/>
    <w:rsid w:val="0003084D"/>
    <w:rsid w:val="00033906"/>
    <w:rsid w:val="00036A63"/>
    <w:rsid w:val="00037513"/>
    <w:rsid w:val="00040A46"/>
    <w:rsid w:val="00040FC1"/>
    <w:rsid w:val="0004119A"/>
    <w:rsid w:val="000418D0"/>
    <w:rsid w:val="00041CA4"/>
    <w:rsid w:val="000424B1"/>
    <w:rsid w:val="0004432A"/>
    <w:rsid w:val="00044E7E"/>
    <w:rsid w:val="000451BC"/>
    <w:rsid w:val="00046238"/>
    <w:rsid w:val="00046EB5"/>
    <w:rsid w:val="000475D2"/>
    <w:rsid w:val="00050300"/>
    <w:rsid w:val="0005290A"/>
    <w:rsid w:val="000618C2"/>
    <w:rsid w:val="00063407"/>
    <w:rsid w:val="00063C34"/>
    <w:rsid w:val="00066735"/>
    <w:rsid w:val="00067245"/>
    <w:rsid w:val="00067AC4"/>
    <w:rsid w:val="00067B04"/>
    <w:rsid w:val="000700EF"/>
    <w:rsid w:val="00074D74"/>
    <w:rsid w:val="00074F72"/>
    <w:rsid w:val="00081394"/>
    <w:rsid w:val="00085056"/>
    <w:rsid w:val="00085570"/>
    <w:rsid w:val="000873FE"/>
    <w:rsid w:val="00087EE1"/>
    <w:rsid w:val="00090124"/>
    <w:rsid w:val="00090CF7"/>
    <w:rsid w:val="0009325D"/>
    <w:rsid w:val="0009588D"/>
    <w:rsid w:val="0009594D"/>
    <w:rsid w:val="000A0FDE"/>
    <w:rsid w:val="000A1181"/>
    <w:rsid w:val="000A37C8"/>
    <w:rsid w:val="000A397F"/>
    <w:rsid w:val="000A3BA7"/>
    <w:rsid w:val="000A4560"/>
    <w:rsid w:val="000A7803"/>
    <w:rsid w:val="000B099B"/>
    <w:rsid w:val="000C107A"/>
    <w:rsid w:val="000C11C3"/>
    <w:rsid w:val="000C247A"/>
    <w:rsid w:val="000C5272"/>
    <w:rsid w:val="000C60A6"/>
    <w:rsid w:val="000C6AE6"/>
    <w:rsid w:val="000D103E"/>
    <w:rsid w:val="000D1D46"/>
    <w:rsid w:val="000D2B0E"/>
    <w:rsid w:val="000D4788"/>
    <w:rsid w:val="000D4B00"/>
    <w:rsid w:val="000D4FDF"/>
    <w:rsid w:val="000D58A4"/>
    <w:rsid w:val="000D77B9"/>
    <w:rsid w:val="000D7CA9"/>
    <w:rsid w:val="000E1B0E"/>
    <w:rsid w:val="000E222A"/>
    <w:rsid w:val="000E2283"/>
    <w:rsid w:val="000E28FB"/>
    <w:rsid w:val="000E41B9"/>
    <w:rsid w:val="000E73E2"/>
    <w:rsid w:val="000F1DA7"/>
    <w:rsid w:val="000F3AAC"/>
    <w:rsid w:val="00102A0E"/>
    <w:rsid w:val="00103E85"/>
    <w:rsid w:val="00105AC2"/>
    <w:rsid w:val="001105E1"/>
    <w:rsid w:val="001147A9"/>
    <w:rsid w:val="00124234"/>
    <w:rsid w:val="00124347"/>
    <w:rsid w:val="0012498F"/>
    <w:rsid w:val="00124CC2"/>
    <w:rsid w:val="0012571C"/>
    <w:rsid w:val="001309B7"/>
    <w:rsid w:val="00132BCE"/>
    <w:rsid w:val="001368FC"/>
    <w:rsid w:val="00140418"/>
    <w:rsid w:val="00140474"/>
    <w:rsid w:val="001409B6"/>
    <w:rsid w:val="001429D0"/>
    <w:rsid w:val="001440BE"/>
    <w:rsid w:val="00144E2A"/>
    <w:rsid w:val="00151200"/>
    <w:rsid w:val="001531FA"/>
    <w:rsid w:val="00153E56"/>
    <w:rsid w:val="00156528"/>
    <w:rsid w:val="00161772"/>
    <w:rsid w:val="0016372D"/>
    <w:rsid w:val="001678AF"/>
    <w:rsid w:val="00167BC0"/>
    <w:rsid w:val="001703DC"/>
    <w:rsid w:val="001708FD"/>
    <w:rsid w:val="00171B5A"/>
    <w:rsid w:val="0017402D"/>
    <w:rsid w:val="00174FAD"/>
    <w:rsid w:val="00176789"/>
    <w:rsid w:val="00176EA2"/>
    <w:rsid w:val="0018209A"/>
    <w:rsid w:val="0018421E"/>
    <w:rsid w:val="0018443A"/>
    <w:rsid w:val="001873E3"/>
    <w:rsid w:val="001878D8"/>
    <w:rsid w:val="0019744F"/>
    <w:rsid w:val="00197499"/>
    <w:rsid w:val="001A369B"/>
    <w:rsid w:val="001A6EEA"/>
    <w:rsid w:val="001B046D"/>
    <w:rsid w:val="001B3B90"/>
    <w:rsid w:val="001B5C62"/>
    <w:rsid w:val="001B5F4D"/>
    <w:rsid w:val="001B75C2"/>
    <w:rsid w:val="001C4F28"/>
    <w:rsid w:val="001C78A7"/>
    <w:rsid w:val="001D0A33"/>
    <w:rsid w:val="001D376B"/>
    <w:rsid w:val="001D449A"/>
    <w:rsid w:val="001D4FDA"/>
    <w:rsid w:val="001D5456"/>
    <w:rsid w:val="001D5636"/>
    <w:rsid w:val="001D5978"/>
    <w:rsid w:val="001D6E96"/>
    <w:rsid w:val="001D757A"/>
    <w:rsid w:val="001E1E05"/>
    <w:rsid w:val="001E21DB"/>
    <w:rsid w:val="001E326C"/>
    <w:rsid w:val="001E4F11"/>
    <w:rsid w:val="001E7710"/>
    <w:rsid w:val="001F1FE8"/>
    <w:rsid w:val="001F2C2A"/>
    <w:rsid w:val="001F32FB"/>
    <w:rsid w:val="001F4F8F"/>
    <w:rsid w:val="001F6439"/>
    <w:rsid w:val="002005BF"/>
    <w:rsid w:val="00201545"/>
    <w:rsid w:val="0020362A"/>
    <w:rsid w:val="002038CA"/>
    <w:rsid w:val="002043F9"/>
    <w:rsid w:val="002058B1"/>
    <w:rsid w:val="00211389"/>
    <w:rsid w:val="002121E6"/>
    <w:rsid w:val="0021329E"/>
    <w:rsid w:val="0021344C"/>
    <w:rsid w:val="0021381B"/>
    <w:rsid w:val="00213CEC"/>
    <w:rsid w:val="0021574A"/>
    <w:rsid w:val="00216613"/>
    <w:rsid w:val="00221D13"/>
    <w:rsid w:val="00225D23"/>
    <w:rsid w:val="00225FC2"/>
    <w:rsid w:val="00231AB5"/>
    <w:rsid w:val="0023425F"/>
    <w:rsid w:val="00234D5A"/>
    <w:rsid w:val="00236906"/>
    <w:rsid w:val="00237547"/>
    <w:rsid w:val="00237FC2"/>
    <w:rsid w:val="002405D2"/>
    <w:rsid w:val="002411C7"/>
    <w:rsid w:val="00242233"/>
    <w:rsid w:val="00242641"/>
    <w:rsid w:val="0024433E"/>
    <w:rsid w:val="002464EF"/>
    <w:rsid w:val="00250621"/>
    <w:rsid w:val="00251ABA"/>
    <w:rsid w:val="00251ECE"/>
    <w:rsid w:val="00253C06"/>
    <w:rsid w:val="002579C0"/>
    <w:rsid w:val="00260FCA"/>
    <w:rsid w:val="00262DA8"/>
    <w:rsid w:val="002651BE"/>
    <w:rsid w:val="002651DA"/>
    <w:rsid w:val="00270E7D"/>
    <w:rsid w:val="0027214F"/>
    <w:rsid w:val="00273E56"/>
    <w:rsid w:val="0027518A"/>
    <w:rsid w:val="0027518E"/>
    <w:rsid w:val="00275672"/>
    <w:rsid w:val="002762CB"/>
    <w:rsid w:val="002765C1"/>
    <w:rsid w:val="002802CB"/>
    <w:rsid w:val="00282534"/>
    <w:rsid w:val="0028300F"/>
    <w:rsid w:val="002830C2"/>
    <w:rsid w:val="00283FC0"/>
    <w:rsid w:val="002853CB"/>
    <w:rsid w:val="002862E4"/>
    <w:rsid w:val="00291833"/>
    <w:rsid w:val="00293095"/>
    <w:rsid w:val="002936A9"/>
    <w:rsid w:val="00296B9D"/>
    <w:rsid w:val="002970B0"/>
    <w:rsid w:val="002A0737"/>
    <w:rsid w:val="002A32BB"/>
    <w:rsid w:val="002A4CDE"/>
    <w:rsid w:val="002A5A26"/>
    <w:rsid w:val="002A5CF9"/>
    <w:rsid w:val="002A6A4C"/>
    <w:rsid w:val="002A79C5"/>
    <w:rsid w:val="002B062A"/>
    <w:rsid w:val="002B2BFE"/>
    <w:rsid w:val="002B394F"/>
    <w:rsid w:val="002B5760"/>
    <w:rsid w:val="002B5C51"/>
    <w:rsid w:val="002C17F7"/>
    <w:rsid w:val="002C1C0B"/>
    <w:rsid w:val="002C3B11"/>
    <w:rsid w:val="002C710F"/>
    <w:rsid w:val="002C7131"/>
    <w:rsid w:val="002C7177"/>
    <w:rsid w:val="002C76C8"/>
    <w:rsid w:val="002C77D9"/>
    <w:rsid w:val="002D0826"/>
    <w:rsid w:val="002D13D6"/>
    <w:rsid w:val="002D1F92"/>
    <w:rsid w:val="002D797F"/>
    <w:rsid w:val="002E0273"/>
    <w:rsid w:val="002E090F"/>
    <w:rsid w:val="002E3123"/>
    <w:rsid w:val="002E46F2"/>
    <w:rsid w:val="002E4E7F"/>
    <w:rsid w:val="002E6CA4"/>
    <w:rsid w:val="002F2B25"/>
    <w:rsid w:val="002F2D68"/>
    <w:rsid w:val="003027F3"/>
    <w:rsid w:val="00302EE4"/>
    <w:rsid w:val="003050AB"/>
    <w:rsid w:val="0030777A"/>
    <w:rsid w:val="00313088"/>
    <w:rsid w:val="0031324D"/>
    <w:rsid w:val="003133AF"/>
    <w:rsid w:val="003153EF"/>
    <w:rsid w:val="00323214"/>
    <w:rsid w:val="00326C2F"/>
    <w:rsid w:val="0033288B"/>
    <w:rsid w:val="003359DD"/>
    <w:rsid w:val="00340E63"/>
    <w:rsid w:val="00342159"/>
    <w:rsid w:val="003468F1"/>
    <w:rsid w:val="00351B12"/>
    <w:rsid w:val="00353A06"/>
    <w:rsid w:val="003606C4"/>
    <w:rsid w:val="00360CDA"/>
    <w:rsid w:val="0036506D"/>
    <w:rsid w:val="003675F3"/>
    <w:rsid w:val="003702F5"/>
    <w:rsid w:val="00370FDD"/>
    <w:rsid w:val="00371533"/>
    <w:rsid w:val="0037156B"/>
    <w:rsid w:val="00371973"/>
    <w:rsid w:val="0037205F"/>
    <w:rsid w:val="0037221E"/>
    <w:rsid w:val="00374C8B"/>
    <w:rsid w:val="00374EC1"/>
    <w:rsid w:val="00374EF5"/>
    <w:rsid w:val="003775FA"/>
    <w:rsid w:val="00380538"/>
    <w:rsid w:val="00382794"/>
    <w:rsid w:val="00385047"/>
    <w:rsid w:val="00385BBC"/>
    <w:rsid w:val="00385F5F"/>
    <w:rsid w:val="00387BC2"/>
    <w:rsid w:val="003972F8"/>
    <w:rsid w:val="0039776A"/>
    <w:rsid w:val="003A4784"/>
    <w:rsid w:val="003A5212"/>
    <w:rsid w:val="003A53EB"/>
    <w:rsid w:val="003A5732"/>
    <w:rsid w:val="003A6D15"/>
    <w:rsid w:val="003B1AFF"/>
    <w:rsid w:val="003B208B"/>
    <w:rsid w:val="003B2AC3"/>
    <w:rsid w:val="003B2F6D"/>
    <w:rsid w:val="003B31B3"/>
    <w:rsid w:val="003B41FE"/>
    <w:rsid w:val="003C0C5A"/>
    <w:rsid w:val="003C2753"/>
    <w:rsid w:val="003C418B"/>
    <w:rsid w:val="003C4A0C"/>
    <w:rsid w:val="003C6EE6"/>
    <w:rsid w:val="003C6F62"/>
    <w:rsid w:val="003D0795"/>
    <w:rsid w:val="003D095F"/>
    <w:rsid w:val="003D79F2"/>
    <w:rsid w:val="003E0F48"/>
    <w:rsid w:val="003E3C36"/>
    <w:rsid w:val="003E61D5"/>
    <w:rsid w:val="003E66E9"/>
    <w:rsid w:val="003E773D"/>
    <w:rsid w:val="003E7AC2"/>
    <w:rsid w:val="003F1A27"/>
    <w:rsid w:val="003F2268"/>
    <w:rsid w:val="003F3105"/>
    <w:rsid w:val="003F34CC"/>
    <w:rsid w:val="003F3FC2"/>
    <w:rsid w:val="003F452E"/>
    <w:rsid w:val="003F54DF"/>
    <w:rsid w:val="003F6A20"/>
    <w:rsid w:val="003F7B7E"/>
    <w:rsid w:val="004002DA"/>
    <w:rsid w:val="00402124"/>
    <w:rsid w:val="00402248"/>
    <w:rsid w:val="00403DFF"/>
    <w:rsid w:val="004046D5"/>
    <w:rsid w:val="00404CEE"/>
    <w:rsid w:val="00405D3E"/>
    <w:rsid w:val="00405F2F"/>
    <w:rsid w:val="00406414"/>
    <w:rsid w:val="00410F61"/>
    <w:rsid w:val="00411012"/>
    <w:rsid w:val="004129B5"/>
    <w:rsid w:val="004144FD"/>
    <w:rsid w:val="0042548A"/>
    <w:rsid w:val="00426CC1"/>
    <w:rsid w:val="00430EA8"/>
    <w:rsid w:val="00435502"/>
    <w:rsid w:val="00440545"/>
    <w:rsid w:val="00444CD2"/>
    <w:rsid w:val="0044601F"/>
    <w:rsid w:val="00446109"/>
    <w:rsid w:val="00446116"/>
    <w:rsid w:val="00446EC3"/>
    <w:rsid w:val="00450857"/>
    <w:rsid w:val="00451134"/>
    <w:rsid w:val="00451430"/>
    <w:rsid w:val="00452A8D"/>
    <w:rsid w:val="004544CC"/>
    <w:rsid w:val="00457529"/>
    <w:rsid w:val="0046150E"/>
    <w:rsid w:val="00465147"/>
    <w:rsid w:val="00471738"/>
    <w:rsid w:val="0047250A"/>
    <w:rsid w:val="00472A48"/>
    <w:rsid w:val="00474D9D"/>
    <w:rsid w:val="004757B7"/>
    <w:rsid w:val="004832A4"/>
    <w:rsid w:val="00483835"/>
    <w:rsid w:val="0048778E"/>
    <w:rsid w:val="00490A3E"/>
    <w:rsid w:val="00491B02"/>
    <w:rsid w:val="00496091"/>
    <w:rsid w:val="004A09DF"/>
    <w:rsid w:val="004A3CC6"/>
    <w:rsid w:val="004A47CE"/>
    <w:rsid w:val="004B3E41"/>
    <w:rsid w:val="004B41CB"/>
    <w:rsid w:val="004B5B87"/>
    <w:rsid w:val="004B5C8A"/>
    <w:rsid w:val="004B7D70"/>
    <w:rsid w:val="004C30B8"/>
    <w:rsid w:val="004C4890"/>
    <w:rsid w:val="004C5B60"/>
    <w:rsid w:val="004D2C76"/>
    <w:rsid w:val="004E236E"/>
    <w:rsid w:val="004E3B49"/>
    <w:rsid w:val="004E511B"/>
    <w:rsid w:val="004E5964"/>
    <w:rsid w:val="004E5A0F"/>
    <w:rsid w:val="004E72C9"/>
    <w:rsid w:val="004F1290"/>
    <w:rsid w:val="004F2342"/>
    <w:rsid w:val="004F2FA2"/>
    <w:rsid w:val="004F4150"/>
    <w:rsid w:val="004F432A"/>
    <w:rsid w:val="004F765B"/>
    <w:rsid w:val="005026B5"/>
    <w:rsid w:val="0050295E"/>
    <w:rsid w:val="005029FF"/>
    <w:rsid w:val="00505D54"/>
    <w:rsid w:val="00510FF4"/>
    <w:rsid w:val="00511050"/>
    <w:rsid w:val="005113AF"/>
    <w:rsid w:val="0051155E"/>
    <w:rsid w:val="0051391A"/>
    <w:rsid w:val="00515F41"/>
    <w:rsid w:val="005220C0"/>
    <w:rsid w:val="00522624"/>
    <w:rsid w:val="00527BE0"/>
    <w:rsid w:val="005301B8"/>
    <w:rsid w:val="00534D2F"/>
    <w:rsid w:val="00537F61"/>
    <w:rsid w:val="00550212"/>
    <w:rsid w:val="00551B65"/>
    <w:rsid w:val="00557FA9"/>
    <w:rsid w:val="00561453"/>
    <w:rsid w:val="00561C45"/>
    <w:rsid w:val="0056312D"/>
    <w:rsid w:val="0056610F"/>
    <w:rsid w:val="00566E34"/>
    <w:rsid w:val="00567BEC"/>
    <w:rsid w:val="00570197"/>
    <w:rsid w:val="00570B26"/>
    <w:rsid w:val="005753C7"/>
    <w:rsid w:val="00576B4C"/>
    <w:rsid w:val="00580F8B"/>
    <w:rsid w:val="00582445"/>
    <w:rsid w:val="0058263C"/>
    <w:rsid w:val="00582ACD"/>
    <w:rsid w:val="00583235"/>
    <w:rsid w:val="00583AA6"/>
    <w:rsid w:val="00586270"/>
    <w:rsid w:val="00591B6C"/>
    <w:rsid w:val="00593C04"/>
    <w:rsid w:val="00594B05"/>
    <w:rsid w:val="005958B5"/>
    <w:rsid w:val="00597273"/>
    <w:rsid w:val="005A23D0"/>
    <w:rsid w:val="005A2B9F"/>
    <w:rsid w:val="005A2EF6"/>
    <w:rsid w:val="005A309B"/>
    <w:rsid w:val="005A538D"/>
    <w:rsid w:val="005A6099"/>
    <w:rsid w:val="005A75F2"/>
    <w:rsid w:val="005B049F"/>
    <w:rsid w:val="005B075D"/>
    <w:rsid w:val="005B1AD4"/>
    <w:rsid w:val="005B281A"/>
    <w:rsid w:val="005B402E"/>
    <w:rsid w:val="005B418E"/>
    <w:rsid w:val="005B4BD8"/>
    <w:rsid w:val="005B6AE0"/>
    <w:rsid w:val="005B7890"/>
    <w:rsid w:val="005C1026"/>
    <w:rsid w:val="005C1A65"/>
    <w:rsid w:val="005C3A7C"/>
    <w:rsid w:val="005C629B"/>
    <w:rsid w:val="005D0EF8"/>
    <w:rsid w:val="005D0FD5"/>
    <w:rsid w:val="005D39B0"/>
    <w:rsid w:val="005E2D77"/>
    <w:rsid w:val="005F0952"/>
    <w:rsid w:val="005F47B2"/>
    <w:rsid w:val="00600C7C"/>
    <w:rsid w:val="00601217"/>
    <w:rsid w:val="006031E5"/>
    <w:rsid w:val="00603E49"/>
    <w:rsid w:val="00603F49"/>
    <w:rsid w:val="006045FB"/>
    <w:rsid w:val="00605D77"/>
    <w:rsid w:val="00610A42"/>
    <w:rsid w:val="00611968"/>
    <w:rsid w:val="0061282C"/>
    <w:rsid w:val="00612DCF"/>
    <w:rsid w:val="0062097D"/>
    <w:rsid w:val="006211D6"/>
    <w:rsid w:val="006217E0"/>
    <w:rsid w:val="00621CD4"/>
    <w:rsid w:val="00624AB2"/>
    <w:rsid w:val="00625CEE"/>
    <w:rsid w:val="00630B9A"/>
    <w:rsid w:val="00632547"/>
    <w:rsid w:val="0063696F"/>
    <w:rsid w:val="00637EA7"/>
    <w:rsid w:val="00641A8B"/>
    <w:rsid w:val="0064227A"/>
    <w:rsid w:val="00642404"/>
    <w:rsid w:val="00642AB3"/>
    <w:rsid w:val="00642C64"/>
    <w:rsid w:val="00646A63"/>
    <w:rsid w:val="00646A64"/>
    <w:rsid w:val="0065335E"/>
    <w:rsid w:val="0066391D"/>
    <w:rsid w:val="00664424"/>
    <w:rsid w:val="006650F6"/>
    <w:rsid w:val="00665906"/>
    <w:rsid w:val="0067025C"/>
    <w:rsid w:val="0067051E"/>
    <w:rsid w:val="00670DDC"/>
    <w:rsid w:val="006712DC"/>
    <w:rsid w:val="00671A44"/>
    <w:rsid w:val="006721F9"/>
    <w:rsid w:val="00675F8E"/>
    <w:rsid w:val="0068115F"/>
    <w:rsid w:val="00682B1D"/>
    <w:rsid w:val="006833A0"/>
    <w:rsid w:val="006845BD"/>
    <w:rsid w:val="006854A7"/>
    <w:rsid w:val="00686366"/>
    <w:rsid w:val="00686471"/>
    <w:rsid w:val="006870F8"/>
    <w:rsid w:val="00687663"/>
    <w:rsid w:val="00687CDE"/>
    <w:rsid w:val="00687F9C"/>
    <w:rsid w:val="00687FCB"/>
    <w:rsid w:val="006935B7"/>
    <w:rsid w:val="00693EA7"/>
    <w:rsid w:val="0069658A"/>
    <w:rsid w:val="006A1187"/>
    <w:rsid w:val="006A134F"/>
    <w:rsid w:val="006A373C"/>
    <w:rsid w:val="006A575C"/>
    <w:rsid w:val="006A750B"/>
    <w:rsid w:val="006A7847"/>
    <w:rsid w:val="006B12CE"/>
    <w:rsid w:val="006B2BC7"/>
    <w:rsid w:val="006B398A"/>
    <w:rsid w:val="006B3F24"/>
    <w:rsid w:val="006B5F66"/>
    <w:rsid w:val="006C1E7A"/>
    <w:rsid w:val="006C40D2"/>
    <w:rsid w:val="006C6CC3"/>
    <w:rsid w:val="006D0E22"/>
    <w:rsid w:val="006D2896"/>
    <w:rsid w:val="006D2E82"/>
    <w:rsid w:val="006D5D99"/>
    <w:rsid w:val="006D631C"/>
    <w:rsid w:val="006D663E"/>
    <w:rsid w:val="006D7360"/>
    <w:rsid w:val="006D74BC"/>
    <w:rsid w:val="006E3596"/>
    <w:rsid w:val="006E3923"/>
    <w:rsid w:val="006E4147"/>
    <w:rsid w:val="006E6437"/>
    <w:rsid w:val="006E7D2D"/>
    <w:rsid w:val="006F00C0"/>
    <w:rsid w:val="006F03E5"/>
    <w:rsid w:val="006F28A2"/>
    <w:rsid w:val="006F403C"/>
    <w:rsid w:val="006F4285"/>
    <w:rsid w:val="006F5B2B"/>
    <w:rsid w:val="007043AA"/>
    <w:rsid w:val="00705B99"/>
    <w:rsid w:val="00706024"/>
    <w:rsid w:val="007100A7"/>
    <w:rsid w:val="00710946"/>
    <w:rsid w:val="00713D4C"/>
    <w:rsid w:val="0071582E"/>
    <w:rsid w:val="00717489"/>
    <w:rsid w:val="00717CA5"/>
    <w:rsid w:val="007233CD"/>
    <w:rsid w:val="00723756"/>
    <w:rsid w:val="00725E6C"/>
    <w:rsid w:val="0072675E"/>
    <w:rsid w:val="00730242"/>
    <w:rsid w:val="00730BD0"/>
    <w:rsid w:val="00732DBA"/>
    <w:rsid w:val="007364F5"/>
    <w:rsid w:val="007437F0"/>
    <w:rsid w:val="00746809"/>
    <w:rsid w:val="00747F30"/>
    <w:rsid w:val="0075041A"/>
    <w:rsid w:val="00750A4E"/>
    <w:rsid w:val="00752ABA"/>
    <w:rsid w:val="007553EE"/>
    <w:rsid w:val="00755E86"/>
    <w:rsid w:val="00762632"/>
    <w:rsid w:val="007640DF"/>
    <w:rsid w:val="00766065"/>
    <w:rsid w:val="007668CE"/>
    <w:rsid w:val="007726D5"/>
    <w:rsid w:val="007733BF"/>
    <w:rsid w:val="007754C5"/>
    <w:rsid w:val="007763C9"/>
    <w:rsid w:val="00780EC0"/>
    <w:rsid w:val="00782BEC"/>
    <w:rsid w:val="00783018"/>
    <w:rsid w:val="007855FD"/>
    <w:rsid w:val="00786E1E"/>
    <w:rsid w:val="007917A1"/>
    <w:rsid w:val="00791EA3"/>
    <w:rsid w:val="007944D5"/>
    <w:rsid w:val="007A0EC5"/>
    <w:rsid w:val="007A0F26"/>
    <w:rsid w:val="007A28A4"/>
    <w:rsid w:val="007A3A25"/>
    <w:rsid w:val="007B0CE9"/>
    <w:rsid w:val="007B15F8"/>
    <w:rsid w:val="007B74CF"/>
    <w:rsid w:val="007C02BF"/>
    <w:rsid w:val="007C2E94"/>
    <w:rsid w:val="007C3D2D"/>
    <w:rsid w:val="007C3FCF"/>
    <w:rsid w:val="007C4A5D"/>
    <w:rsid w:val="007D04BD"/>
    <w:rsid w:val="007D1A5D"/>
    <w:rsid w:val="007E1CA4"/>
    <w:rsid w:val="007E1D1A"/>
    <w:rsid w:val="007E2D10"/>
    <w:rsid w:val="007E5DA3"/>
    <w:rsid w:val="007E6553"/>
    <w:rsid w:val="007E6EB7"/>
    <w:rsid w:val="007E7055"/>
    <w:rsid w:val="007E7A6C"/>
    <w:rsid w:val="007E7EB6"/>
    <w:rsid w:val="007F045E"/>
    <w:rsid w:val="007F546E"/>
    <w:rsid w:val="007F5ED7"/>
    <w:rsid w:val="007F6899"/>
    <w:rsid w:val="007F7092"/>
    <w:rsid w:val="007F7534"/>
    <w:rsid w:val="008001E7"/>
    <w:rsid w:val="008027ED"/>
    <w:rsid w:val="00804E4A"/>
    <w:rsid w:val="00806453"/>
    <w:rsid w:val="00807342"/>
    <w:rsid w:val="008115FA"/>
    <w:rsid w:val="00817FF4"/>
    <w:rsid w:val="00823C65"/>
    <w:rsid w:val="00832EED"/>
    <w:rsid w:val="008365E8"/>
    <w:rsid w:val="00843D1A"/>
    <w:rsid w:val="00844F58"/>
    <w:rsid w:val="00846846"/>
    <w:rsid w:val="008510AF"/>
    <w:rsid w:val="00851103"/>
    <w:rsid w:val="00852BE4"/>
    <w:rsid w:val="008562A5"/>
    <w:rsid w:val="008576D9"/>
    <w:rsid w:val="008615F7"/>
    <w:rsid w:val="008627DC"/>
    <w:rsid w:val="008636EF"/>
    <w:rsid w:val="00867846"/>
    <w:rsid w:val="008727EC"/>
    <w:rsid w:val="00873613"/>
    <w:rsid w:val="00876CA6"/>
    <w:rsid w:val="00880795"/>
    <w:rsid w:val="0088340D"/>
    <w:rsid w:val="0088592F"/>
    <w:rsid w:val="00886248"/>
    <w:rsid w:val="00886CAE"/>
    <w:rsid w:val="00893260"/>
    <w:rsid w:val="0089543D"/>
    <w:rsid w:val="008A041A"/>
    <w:rsid w:val="008A2363"/>
    <w:rsid w:val="008A2441"/>
    <w:rsid w:val="008B1022"/>
    <w:rsid w:val="008B2E53"/>
    <w:rsid w:val="008B302A"/>
    <w:rsid w:val="008B44C3"/>
    <w:rsid w:val="008B4A23"/>
    <w:rsid w:val="008C163F"/>
    <w:rsid w:val="008C2BAA"/>
    <w:rsid w:val="008C573A"/>
    <w:rsid w:val="008D26A8"/>
    <w:rsid w:val="008D4C00"/>
    <w:rsid w:val="008D7C32"/>
    <w:rsid w:val="008E1F57"/>
    <w:rsid w:val="008E28FA"/>
    <w:rsid w:val="008E29D6"/>
    <w:rsid w:val="008E377D"/>
    <w:rsid w:val="008E4DB6"/>
    <w:rsid w:val="008F1AE4"/>
    <w:rsid w:val="008F2461"/>
    <w:rsid w:val="008F3966"/>
    <w:rsid w:val="008F4B0F"/>
    <w:rsid w:val="008F763B"/>
    <w:rsid w:val="00900104"/>
    <w:rsid w:val="00903108"/>
    <w:rsid w:val="009050E9"/>
    <w:rsid w:val="0090670F"/>
    <w:rsid w:val="00906DC9"/>
    <w:rsid w:val="009118A6"/>
    <w:rsid w:val="0091362C"/>
    <w:rsid w:val="00914B4B"/>
    <w:rsid w:val="0092146F"/>
    <w:rsid w:val="0092377F"/>
    <w:rsid w:val="00923F7A"/>
    <w:rsid w:val="00924A43"/>
    <w:rsid w:val="00925D93"/>
    <w:rsid w:val="00930036"/>
    <w:rsid w:val="00933C40"/>
    <w:rsid w:val="00934A08"/>
    <w:rsid w:val="00934CEF"/>
    <w:rsid w:val="00934D9F"/>
    <w:rsid w:val="009359F5"/>
    <w:rsid w:val="009364F3"/>
    <w:rsid w:val="0093652F"/>
    <w:rsid w:val="00937807"/>
    <w:rsid w:val="00942F4A"/>
    <w:rsid w:val="0094330D"/>
    <w:rsid w:val="00943F31"/>
    <w:rsid w:val="0094457E"/>
    <w:rsid w:val="009504D4"/>
    <w:rsid w:val="009511D7"/>
    <w:rsid w:val="00952204"/>
    <w:rsid w:val="00955D24"/>
    <w:rsid w:val="009609F5"/>
    <w:rsid w:val="00963A61"/>
    <w:rsid w:val="00963BB6"/>
    <w:rsid w:val="00964784"/>
    <w:rsid w:val="00964E68"/>
    <w:rsid w:val="00967CF3"/>
    <w:rsid w:val="00967CF5"/>
    <w:rsid w:val="00967F6A"/>
    <w:rsid w:val="00972E45"/>
    <w:rsid w:val="00973939"/>
    <w:rsid w:val="00974897"/>
    <w:rsid w:val="00975374"/>
    <w:rsid w:val="009822B8"/>
    <w:rsid w:val="009822FC"/>
    <w:rsid w:val="00985EA6"/>
    <w:rsid w:val="00987363"/>
    <w:rsid w:val="0099001D"/>
    <w:rsid w:val="00991E97"/>
    <w:rsid w:val="0099347C"/>
    <w:rsid w:val="0099381F"/>
    <w:rsid w:val="009A0F87"/>
    <w:rsid w:val="009A14B8"/>
    <w:rsid w:val="009A195C"/>
    <w:rsid w:val="009A1ACC"/>
    <w:rsid w:val="009A409D"/>
    <w:rsid w:val="009A5C6A"/>
    <w:rsid w:val="009A6EDE"/>
    <w:rsid w:val="009B3E07"/>
    <w:rsid w:val="009B579B"/>
    <w:rsid w:val="009B5BB0"/>
    <w:rsid w:val="009D20B1"/>
    <w:rsid w:val="009E0D7B"/>
    <w:rsid w:val="009E0E5E"/>
    <w:rsid w:val="009E2A5E"/>
    <w:rsid w:val="009E4CEC"/>
    <w:rsid w:val="009E52B2"/>
    <w:rsid w:val="009E5A17"/>
    <w:rsid w:val="009E71A3"/>
    <w:rsid w:val="009F7791"/>
    <w:rsid w:val="00A0109F"/>
    <w:rsid w:val="00A01183"/>
    <w:rsid w:val="00A03929"/>
    <w:rsid w:val="00A05054"/>
    <w:rsid w:val="00A05382"/>
    <w:rsid w:val="00A05F55"/>
    <w:rsid w:val="00A063E9"/>
    <w:rsid w:val="00A06413"/>
    <w:rsid w:val="00A069F5"/>
    <w:rsid w:val="00A06AE8"/>
    <w:rsid w:val="00A07FED"/>
    <w:rsid w:val="00A119AA"/>
    <w:rsid w:val="00A11F6D"/>
    <w:rsid w:val="00A13EE8"/>
    <w:rsid w:val="00A14B1B"/>
    <w:rsid w:val="00A14EEA"/>
    <w:rsid w:val="00A17437"/>
    <w:rsid w:val="00A209A9"/>
    <w:rsid w:val="00A23540"/>
    <w:rsid w:val="00A30B00"/>
    <w:rsid w:val="00A32459"/>
    <w:rsid w:val="00A34C60"/>
    <w:rsid w:val="00A35248"/>
    <w:rsid w:val="00A3713A"/>
    <w:rsid w:val="00A40859"/>
    <w:rsid w:val="00A40D7B"/>
    <w:rsid w:val="00A467FC"/>
    <w:rsid w:val="00A51D63"/>
    <w:rsid w:val="00A51DE1"/>
    <w:rsid w:val="00A5244C"/>
    <w:rsid w:val="00A53D52"/>
    <w:rsid w:val="00A55806"/>
    <w:rsid w:val="00A55DE0"/>
    <w:rsid w:val="00A564B1"/>
    <w:rsid w:val="00A56C9E"/>
    <w:rsid w:val="00A617A1"/>
    <w:rsid w:val="00A62300"/>
    <w:rsid w:val="00A6445A"/>
    <w:rsid w:val="00A64EA4"/>
    <w:rsid w:val="00A660B7"/>
    <w:rsid w:val="00A70DD1"/>
    <w:rsid w:val="00A71848"/>
    <w:rsid w:val="00A730EA"/>
    <w:rsid w:val="00A752DA"/>
    <w:rsid w:val="00A771F0"/>
    <w:rsid w:val="00A778FD"/>
    <w:rsid w:val="00A84675"/>
    <w:rsid w:val="00A852DB"/>
    <w:rsid w:val="00A870AC"/>
    <w:rsid w:val="00A90599"/>
    <w:rsid w:val="00A90E10"/>
    <w:rsid w:val="00AA0049"/>
    <w:rsid w:val="00AA5371"/>
    <w:rsid w:val="00AB1E3A"/>
    <w:rsid w:val="00AB2EE8"/>
    <w:rsid w:val="00AB3462"/>
    <w:rsid w:val="00AB36EE"/>
    <w:rsid w:val="00AB54F9"/>
    <w:rsid w:val="00AC2B52"/>
    <w:rsid w:val="00AC2DC3"/>
    <w:rsid w:val="00AC3AD0"/>
    <w:rsid w:val="00AC53FF"/>
    <w:rsid w:val="00AD1683"/>
    <w:rsid w:val="00AD4049"/>
    <w:rsid w:val="00AD5A33"/>
    <w:rsid w:val="00AD6146"/>
    <w:rsid w:val="00AE04DC"/>
    <w:rsid w:val="00AE258C"/>
    <w:rsid w:val="00AE2E59"/>
    <w:rsid w:val="00AE582B"/>
    <w:rsid w:val="00AE7ABD"/>
    <w:rsid w:val="00AF046A"/>
    <w:rsid w:val="00AF0640"/>
    <w:rsid w:val="00AF0E39"/>
    <w:rsid w:val="00AF0E69"/>
    <w:rsid w:val="00AF3D76"/>
    <w:rsid w:val="00AF4EFC"/>
    <w:rsid w:val="00B01F72"/>
    <w:rsid w:val="00B0203D"/>
    <w:rsid w:val="00B023FB"/>
    <w:rsid w:val="00B02686"/>
    <w:rsid w:val="00B05BEB"/>
    <w:rsid w:val="00B065F8"/>
    <w:rsid w:val="00B23111"/>
    <w:rsid w:val="00B23AA2"/>
    <w:rsid w:val="00B25376"/>
    <w:rsid w:val="00B32118"/>
    <w:rsid w:val="00B3479F"/>
    <w:rsid w:val="00B347F8"/>
    <w:rsid w:val="00B41A54"/>
    <w:rsid w:val="00B41A65"/>
    <w:rsid w:val="00B41F8E"/>
    <w:rsid w:val="00B440BE"/>
    <w:rsid w:val="00B47FB0"/>
    <w:rsid w:val="00B50F3E"/>
    <w:rsid w:val="00B52251"/>
    <w:rsid w:val="00B52AEF"/>
    <w:rsid w:val="00B52E9F"/>
    <w:rsid w:val="00B54B3A"/>
    <w:rsid w:val="00B57232"/>
    <w:rsid w:val="00B61BB4"/>
    <w:rsid w:val="00B62FFD"/>
    <w:rsid w:val="00B63068"/>
    <w:rsid w:val="00B63B84"/>
    <w:rsid w:val="00B7046F"/>
    <w:rsid w:val="00B70A1E"/>
    <w:rsid w:val="00B71489"/>
    <w:rsid w:val="00B72264"/>
    <w:rsid w:val="00B72BB1"/>
    <w:rsid w:val="00B74672"/>
    <w:rsid w:val="00B75974"/>
    <w:rsid w:val="00B7711E"/>
    <w:rsid w:val="00B775C7"/>
    <w:rsid w:val="00B80C44"/>
    <w:rsid w:val="00B8174E"/>
    <w:rsid w:val="00B83CB3"/>
    <w:rsid w:val="00B91340"/>
    <w:rsid w:val="00B93C34"/>
    <w:rsid w:val="00B94A98"/>
    <w:rsid w:val="00B94D44"/>
    <w:rsid w:val="00B96146"/>
    <w:rsid w:val="00B966EE"/>
    <w:rsid w:val="00B96823"/>
    <w:rsid w:val="00BA2664"/>
    <w:rsid w:val="00BA34E1"/>
    <w:rsid w:val="00BB69C1"/>
    <w:rsid w:val="00BC2AA5"/>
    <w:rsid w:val="00BC2DEE"/>
    <w:rsid w:val="00BC3A0C"/>
    <w:rsid w:val="00BC48A4"/>
    <w:rsid w:val="00BC539D"/>
    <w:rsid w:val="00BC5E1D"/>
    <w:rsid w:val="00BC67B2"/>
    <w:rsid w:val="00BC68F6"/>
    <w:rsid w:val="00BD05C7"/>
    <w:rsid w:val="00BD6711"/>
    <w:rsid w:val="00BD797F"/>
    <w:rsid w:val="00BD7B18"/>
    <w:rsid w:val="00BE3E57"/>
    <w:rsid w:val="00BE55A4"/>
    <w:rsid w:val="00BE6BA4"/>
    <w:rsid w:val="00BF18B8"/>
    <w:rsid w:val="00BF3142"/>
    <w:rsid w:val="00BF6FA2"/>
    <w:rsid w:val="00C06715"/>
    <w:rsid w:val="00C07F19"/>
    <w:rsid w:val="00C102CB"/>
    <w:rsid w:val="00C10A92"/>
    <w:rsid w:val="00C1117A"/>
    <w:rsid w:val="00C12625"/>
    <w:rsid w:val="00C12AFB"/>
    <w:rsid w:val="00C138FC"/>
    <w:rsid w:val="00C140D9"/>
    <w:rsid w:val="00C14644"/>
    <w:rsid w:val="00C160D2"/>
    <w:rsid w:val="00C16BFD"/>
    <w:rsid w:val="00C16EEC"/>
    <w:rsid w:val="00C1768F"/>
    <w:rsid w:val="00C17E7F"/>
    <w:rsid w:val="00C23112"/>
    <w:rsid w:val="00C2345E"/>
    <w:rsid w:val="00C24A72"/>
    <w:rsid w:val="00C31793"/>
    <w:rsid w:val="00C31A09"/>
    <w:rsid w:val="00C32D79"/>
    <w:rsid w:val="00C34009"/>
    <w:rsid w:val="00C427B0"/>
    <w:rsid w:val="00C439BF"/>
    <w:rsid w:val="00C43D2B"/>
    <w:rsid w:val="00C456E5"/>
    <w:rsid w:val="00C471BB"/>
    <w:rsid w:val="00C477C8"/>
    <w:rsid w:val="00C5023C"/>
    <w:rsid w:val="00C51D41"/>
    <w:rsid w:val="00C524BF"/>
    <w:rsid w:val="00C554D4"/>
    <w:rsid w:val="00C55E00"/>
    <w:rsid w:val="00C570D7"/>
    <w:rsid w:val="00C601C6"/>
    <w:rsid w:val="00C666B7"/>
    <w:rsid w:val="00C66964"/>
    <w:rsid w:val="00C67BFA"/>
    <w:rsid w:val="00C71203"/>
    <w:rsid w:val="00C71F52"/>
    <w:rsid w:val="00C73FF3"/>
    <w:rsid w:val="00C7438D"/>
    <w:rsid w:val="00C748B9"/>
    <w:rsid w:val="00C75417"/>
    <w:rsid w:val="00C777D0"/>
    <w:rsid w:val="00C77F18"/>
    <w:rsid w:val="00C81BC6"/>
    <w:rsid w:val="00C82BF7"/>
    <w:rsid w:val="00C83BCD"/>
    <w:rsid w:val="00C84051"/>
    <w:rsid w:val="00C847E8"/>
    <w:rsid w:val="00C879A8"/>
    <w:rsid w:val="00C87BCD"/>
    <w:rsid w:val="00C900B3"/>
    <w:rsid w:val="00C93E47"/>
    <w:rsid w:val="00C95E98"/>
    <w:rsid w:val="00C96158"/>
    <w:rsid w:val="00CA37BF"/>
    <w:rsid w:val="00CA4C73"/>
    <w:rsid w:val="00CA4F4F"/>
    <w:rsid w:val="00CA5FC1"/>
    <w:rsid w:val="00CB1D2A"/>
    <w:rsid w:val="00CB2EB8"/>
    <w:rsid w:val="00CB5E63"/>
    <w:rsid w:val="00CC1428"/>
    <w:rsid w:val="00CC1C4E"/>
    <w:rsid w:val="00CC405B"/>
    <w:rsid w:val="00CE3780"/>
    <w:rsid w:val="00CE40AB"/>
    <w:rsid w:val="00CE4B4A"/>
    <w:rsid w:val="00CE6A10"/>
    <w:rsid w:val="00CF0859"/>
    <w:rsid w:val="00CF0B89"/>
    <w:rsid w:val="00CF4F1E"/>
    <w:rsid w:val="00CF5655"/>
    <w:rsid w:val="00CF6B91"/>
    <w:rsid w:val="00D00021"/>
    <w:rsid w:val="00D01A2F"/>
    <w:rsid w:val="00D042BC"/>
    <w:rsid w:val="00D04A79"/>
    <w:rsid w:val="00D1063C"/>
    <w:rsid w:val="00D10D70"/>
    <w:rsid w:val="00D139E7"/>
    <w:rsid w:val="00D13E2E"/>
    <w:rsid w:val="00D15E41"/>
    <w:rsid w:val="00D22675"/>
    <w:rsid w:val="00D23372"/>
    <w:rsid w:val="00D23B4A"/>
    <w:rsid w:val="00D32ACD"/>
    <w:rsid w:val="00D37A49"/>
    <w:rsid w:val="00D406C5"/>
    <w:rsid w:val="00D44560"/>
    <w:rsid w:val="00D4482B"/>
    <w:rsid w:val="00D459B7"/>
    <w:rsid w:val="00D50732"/>
    <w:rsid w:val="00D51856"/>
    <w:rsid w:val="00D55684"/>
    <w:rsid w:val="00D563CE"/>
    <w:rsid w:val="00D60B5A"/>
    <w:rsid w:val="00D61720"/>
    <w:rsid w:val="00D6422B"/>
    <w:rsid w:val="00D64408"/>
    <w:rsid w:val="00D6596E"/>
    <w:rsid w:val="00D65A56"/>
    <w:rsid w:val="00D66C6F"/>
    <w:rsid w:val="00D66F8A"/>
    <w:rsid w:val="00D66FD8"/>
    <w:rsid w:val="00D6786E"/>
    <w:rsid w:val="00D70C5D"/>
    <w:rsid w:val="00D71B9F"/>
    <w:rsid w:val="00D72512"/>
    <w:rsid w:val="00D753EA"/>
    <w:rsid w:val="00D76DE3"/>
    <w:rsid w:val="00D76FAA"/>
    <w:rsid w:val="00D77876"/>
    <w:rsid w:val="00D800F0"/>
    <w:rsid w:val="00D8050A"/>
    <w:rsid w:val="00D8220E"/>
    <w:rsid w:val="00D832C3"/>
    <w:rsid w:val="00D83F9B"/>
    <w:rsid w:val="00D851C3"/>
    <w:rsid w:val="00D8675F"/>
    <w:rsid w:val="00D87907"/>
    <w:rsid w:val="00D903B1"/>
    <w:rsid w:val="00D90DB8"/>
    <w:rsid w:val="00D940B8"/>
    <w:rsid w:val="00D9580C"/>
    <w:rsid w:val="00D95946"/>
    <w:rsid w:val="00DA0615"/>
    <w:rsid w:val="00DA069C"/>
    <w:rsid w:val="00DA1966"/>
    <w:rsid w:val="00DA3407"/>
    <w:rsid w:val="00DA34C2"/>
    <w:rsid w:val="00DA3FFE"/>
    <w:rsid w:val="00DA4FB0"/>
    <w:rsid w:val="00DB13A4"/>
    <w:rsid w:val="00DB3E93"/>
    <w:rsid w:val="00DB3F76"/>
    <w:rsid w:val="00DC1BDD"/>
    <w:rsid w:val="00DC3454"/>
    <w:rsid w:val="00DC37A2"/>
    <w:rsid w:val="00DC3B3E"/>
    <w:rsid w:val="00DC3D9B"/>
    <w:rsid w:val="00DC67A5"/>
    <w:rsid w:val="00DD13FB"/>
    <w:rsid w:val="00DD705C"/>
    <w:rsid w:val="00DD78F4"/>
    <w:rsid w:val="00DE0963"/>
    <w:rsid w:val="00DE0A7D"/>
    <w:rsid w:val="00DE40AC"/>
    <w:rsid w:val="00DE49F6"/>
    <w:rsid w:val="00DE4EF3"/>
    <w:rsid w:val="00DE54BC"/>
    <w:rsid w:val="00DF28FB"/>
    <w:rsid w:val="00DF3246"/>
    <w:rsid w:val="00DF624A"/>
    <w:rsid w:val="00E00FE2"/>
    <w:rsid w:val="00E03F01"/>
    <w:rsid w:val="00E04E32"/>
    <w:rsid w:val="00E05496"/>
    <w:rsid w:val="00E05E99"/>
    <w:rsid w:val="00E10088"/>
    <w:rsid w:val="00E108A2"/>
    <w:rsid w:val="00E1548C"/>
    <w:rsid w:val="00E15B06"/>
    <w:rsid w:val="00E253FB"/>
    <w:rsid w:val="00E2563D"/>
    <w:rsid w:val="00E26C10"/>
    <w:rsid w:val="00E2788C"/>
    <w:rsid w:val="00E307B1"/>
    <w:rsid w:val="00E3162D"/>
    <w:rsid w:val="00E3217D"/>
    <w:rsid w:val="00E3250B"/>
    <w:rsid w:val="00E40C12"/>
    <w:rsid w:val="00E44C7E"/>
    <w:rsid w:val="00E45540"/>
    <w:rsid w:val="00E47426"/>
    <w:rsid w:val="00E52915"/>
    <w:rsid w:val="00E56711"/>
    <w:rsid w:val="00E574CD"/>
    <w:rsid w:val="00E61CC4"/>
    <w:rsid w:val="00E66181"/>
    <w:rsid w:val="00E72E1B"/>
    <w:rsid w:val="00E737FB"/>
    <w:rsid w:val="00E75860"/>
    <w:rsid w:val="00E777EC"/>
    <w:rsid w:val="00E806D9"/>
    <w:rsid w:val="00E81267"/>
    <w:rsid w:val="00E84787"/>
    <w:rsid w:val="00E865F3"/>
    <w:rsid w:val="00E873A1"/>
    <w:rsid w:val="00E92A47"/>
    <w:rsid w:val="00E96065"/>
    <w:rsid w:val="00E97507"/>
    <w:rsid w:val="00EA3C64"/>
    <w:rsid w:val="00EA47D3"/>
    <w:rsid w:val="00EA6A89"/>
    <w:rsid w:val="00EB06FC"/>
    <w:rsid w:val="00EB16EE"/>
    <w:rsid w:val="00EB5B55"/>
    <w:rsid w:val="00EB6ED3"/>
    <w:rsid w:val="00EC0E2C"/>
    <w:rsid w:val="00EC2094"/>
    <w:rsid w:val="00EC38C0"/>
    <w:rsid w:val="00EC6B89"/>
    <w:rsid w:val="00EC77A0"/>
    <w:rsid w:val="00ED0FFD"/>
    <w:rsid w:val="00ED3031"/>
    <w:rsid w:val="00ED3FA4"/>
    <w:rsid w:val="00ED7834"/>
    <w:rsid w:val="00EE10A8"/>
    <w:rsid w:val="00EE4F81"/>
    <w:rsid w:val="00EE79F9"/>
    <w:rsid w:val="00EF2240"/>
    <w:rsid w:val="00EF5608"/>
    <w:rsid w:val="00EF6422"/>
    <w:rsid w:val="00EF7FC3"/>
    <w:rsid w:val="00F003A2"/>
    <w:rsid w:val="00F0230F"/>
    <w:rsid w:val="00F034BD"/>
    <w:rsid w:val="00F049D8"/>
    <w:rsid w:val="00F05E38"/>
    <w:rsid w:val="00F1101D"/>
    <w:rsid w:val="00F11211"/>
    <w:rsid w:val="00F13382"/>
    <w:rsid w:val="00F13AB0"/>
    <w:rsid w:val="00F14E6A"/>
    <w:rsid w:val="00F178CE"/>
    <w:rsid w:val="00F2051A"/>
    <w:rsid w:val="00F260F3"/>
    <w:rsid w:val="00F26726"/>
    <w:rsid w:val="00F3276D"/>
    <w:rsid w:val="00F33F81"/>
    <w:rsid w:val="00F33F8E"/>
    <w:rsid w:val="00F36614"/>
    <w:rsid w:val="00F41879"/>
    <w:rsid w:val="00F43498"/>
    <w:rsid w:val="00F4398F"/>
    <w:rsid w:val="00F44DBD"/>
    <w:rsid w:val="00F45D7D"/>
    <w:rsid w:val="00F515BC"/>
    <w:rsid w:val="00F51716"/>
    <w:rsid w:val="00F52D03"/>
    <w:rsid w:val="00F537B0"/>
    <w:rsid w:val="00F53C3B"/>
    <w:rsid w:val="00F55D7A"/>
    <w:rsid w:val="00F611BE"/>
    <w:rsid w:val="00F61540"/>
    <w:rsid w:val="00F66A49"/>
    <w:rsid w:val="00F6713A"/>
    <w:rsid w:val="00F70DFF"/>
    <w:rsid w:val="00F72DF9"/>
    <w:rsid w:val="00F73697"/>
    <w:rsid w:val="00F73CC3"/>
    <w:rsid w:val="00F743BA"/>
    <w:rsid w:val="00F74D4A"/>
    <w:rsid w:val="00F74F43"/>
    <w:rsid w:val="00F82285"/>
    <w:rsid w:val="00F83DAF"/>
    <w:rsid w:val="00F87C41"/>
    <w:rsid w:val="00F87FBA"/>
    <w:rsid w:val="00F94C0E"/>
    <w:rsid w:val="00F9666C"/>
    <w:rsid w:val="00FA161C"/>
    <w:rsid w:val="00FA1F91"/>
    <w:rsid w:val="00FA2055"/>
    <w:rsid w:val="00FA3583"/>
    <w:rsid w:val="00FA6090"/>
    <w:rsid w:val="00FB3A73"/>
    <w:rsid w:val="00FB5F7C"/>
    <w:rsid w:val="00FC0311"/>
    <w:rsid w:val="00FC13A6"/>
    <w:rsid w:val="00FC1EE5"/>
    <w:rsid w:val="00FC2F24"/>
    <w:rsid w:val="00FC59DE"/>
    <w:rsid w:val="00FD1A00"/>
    <w:rsid w:val="00FD4098"/>
    <w:rsid w:val="00FD6D70"/>
    <w:rsid w:val="00FD7D3F"/>
    <w:rsid w:val="00FE0CC7"/>
    <w:rsid w:val="00FE1FEF"/>
    <w:rsid w:val="00FE2579"/>
    <w:rsid w:val="00FE2F5F"/>
    <w:rsid w:val="00FE363C"/>
    <w:rsid w:val="00FE4622"/>
    <w:rsid w:val="00FE53D5"/>
    <w:rsid w:val="00FE727B"/>
    <w:rsid w:val="00FF0797"/>
    <w:rsid w:val="00FF1FEF"/>
    <w:rsid w:val="00FF2431"/>
    <w:rsid w:val="00FF567E"/>
    <w:rsid w:val="00FF6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E706"/>
  <w15:docId w15:val="{C16E2770-2971-4DF9-B157-6D1CCC68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a"/>
    <w:next w:val="a"/>
    <w:link w:val="11"/>
    <w:uiPriority w:val="9"/>
    <w:qFormat/>
    <w:rsid w:val="009050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50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50AB"/>
    <w:rPr>
      <w:rFonts w:ascii="Tahoma" w:hAnsi="Tahoma" w:cs="Tahoma"/>
      <w:sz w:val="16"/>
      <w:szCs w:val="16"/>
    </w:rPr>
  </w:style>
  <w:style w:type="paragraph" w:styleId="a5">
    <w:name w:val="List Paragraph"/>
    <w:basedOn w:val="a"/>
    <w:uiPriority w:val="34"/>
    <w:qFormat/>
    <w:rsid w:val="00C847E8"/>
    <w:pPr>
      <w:ind w:left="720"/>
      <w:contextualSpacing/>
    </w:pPr>
  </w:style>
  <w:style w:type="paragraph" w:styleId="a6">
    <w:name w:val="footnote text"/>
    <w:basedOn w:val="a"/>
    <w:link w:val="a7"/>
    <w:uiPriority w:val="99"/>
    <w:unhideWhenUsed/>
    <w:rsid w:val="002853CB"/>
    <w:pPr>
      <w:spacing w:after="0" w:line="240" w:lineRule="auto"/>
    </w:pPr>
    <w:rPr>
      <w:sz w:val="20"/>
      <w:szCs w:val="20"/>
    </w:rPr>
  </w:style>
  <w:style w:type="character" w:customStyle="1" w:styleId="a7">
    <w:name w:val="Текст сноски Знак"/>
    <w:basedOn w:val="a0"/>
    <w:link w:val="a6"/>
    <w:uiPriority w:val="99"/>
    <w:rsid w:val="002853CB"/>
    <w:rPr>
      <w:sz w:val="20"/>
      <w:szCs w:val="20"/>
    </w:rPr>
  </w:style>
  <w:style w:type="character" w:styleId="a8">
    <w:name w:val="footnote reference"/>
    <w:basedOn w:val="a0"/>
    <w:uiPriority w:val="99"/>
    <w:semiHidden/>
    <w:unhideWhenUsed/>
    <w:rsid w:val="002853CB"/>
    <w:rPr>
      <w:vertAlign w:val="superscript"/>
    </w:rPr>
  </w:style>
  <w:style w:type="character" w:styleId="a9">
    <w:name w:val="Hyperlink"/>
    <w:basedOn w:val="a0"/>
    <w:uiPriority w:val="99"/>
    <w:unhideWhenUsed/>
    <w:rsid w:val="00E2563D"/>
    <w:rPr>
      <w:color w:val="0000FF" w:themeColor="hyperlink"/>
      <w:u w:val="single"/>
    </w:rPr>
  </w:style>
  <w:style w:type="character" w:styleId="aa">
    <w:name w:val="annotation reference"/>
    <w:basedOn w:val="a0"/>
    <w:uiPriority w:val="99"/>
    <w:semiHidden/>
    <w:unhideWhenUsed/>
    <w:rsid w:val="006833A0"/>
    <w:rPr>
      <w:sz w:val="16"/>
      <w:szCs w:val="16"/>
    </w:rPr>
  </w:style>
  <w:style w:type="paragraph" w:styleId="ab">
    <w:name w:val="annotation text"/>
    <w:basedOn w:val="a"/>
    <w:link w:val="ac"/>
    <w:uiPriority w:val="99"/>
    <w:semiHidden/>
    <w:unhideWhenUsed/>
    <w:rsid w:val="006833A0"/>
    <w:pPr>
      <w:spacing w:line="240" w:lineRule="auto"/>
    </w:pPr>
    <w:rPr>
      <w:sz w:val="20"/>
      <w:szCs w:val="20"/>
    </w:rPr>
  </w:style>
  <w:style w:type="character" w:customStyle="1" w:styleId="ac">
    <w:name w:val="Текст примечания Знак"/>
    <w:basedOn w:val="a0"/>
    <w:link w:val="ab"/>
    <w:uiPriority w:val="99"/>
    <w:semiHidden/>
    <w:rsid w:val="006833A0"/>
    <w:rPr>
      <w:sz w:val="20"/>
      <w:szCs w:val="20"/>
    </w:rPr>
  </w:style>
  <w:style w:type="paragraph" w:styleId="ad">
    <w:name w:val="annotation subject"/>
    <w:basedOn w:val="ab"/>
    <w:next w:val="ab"/>
    <w:link w:val="ae"/>
    <w:uiPriority w:val="99"/>
    <w:semiHidden/>
    <w:unhideWhenUsed/>
    <w:rsid w:val="006833A0"/>
    <w:rPr>
      <w:b/>
      <w:bCs/>
    </w:rPr>
  </w:style>
  <w:style w:type="character" w:customStyle="1" w:styleId="ae">
    <w:name w:val="Тема примечания Знак"/>
    <w:basedOn w:val="ac"/>
    <w:link w:val="ad"/>
    <w:uiPriority w:val="99"/>
    <w:semiHidden/>
    <w:rsid w:val="006833A0"/>
    <w:rPr>
      <w:b/>
      <w:bCs/>
      <w:sz w:val="20"/>
      <w:szCs w:val="20"/>
    </w:rPr>
  </w:style>
  <w:style w:type="table" w:styleId="af">
    <w:name w:val="Table Grid"/>
    <w:basedOn w:val="a1"/>
    <w:uiPriority w:val="39"/>
    <w:rsid w:val="00B06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1"/>
    <w:basedOn w:val="10"/>
    <w:link w:val="af0"/>
    <w:qFormat/>
    <w:rsid w:val="009050E9"/>
    <w:pPr>
      <w:numPr>
        <w:numId w:val="23"/>
      </w:numPr>
      <w:spacing w:line="360" w:lineRule="auto"/>
      <w:jc w:val="center"/>
    </w:pPr>
    <w:rPr>
      <w:rFonts w:ascii="Times New Roman" w:hAnsi="Times New Roman" w:cs="Times New Roman"/>
      <w:color w:val="0D0D0D" w:themeColor="text1" w:themeTint="F2"/>
    </w:rPr>
  </w:style>
  <w:style w:type="character" w:customStyle="1" w:styleId="11">
    <w:name w:val="Заголовок 1 Знак"/>
    <w:basedOn w:val="a0"/>
    <w:link w:val="10"/>
    <w:uiPriority w:val="9"/>
    <w:rsid w:val="009050E9"/>
    <w:rPr>
      <w:rFonts w:asciiTheme="majorHAnsi" w:eastAsiaTheme="majorEastAsia" w:hAnsiTheme="majorHAnsi" w:cstheme="majorBidi"/>
      <w:b/>
      <w:bCs/>
      <w:color w:val="365F91" w:themeColor="accent1" w:themeShade="BF"/>
      <w:sz w:val="28"/>
      <w:szCs w:val="28"/>
    </w:rPr>
  </w:style>
  <w:style w:type="character" w:customStyle="1" w:styleId="af0">
    <w:name w:val="Заголовок Знак"/>
    <w:basedOn w:val="11"/>
    <w:link w:val="1"/>
    <w:rsid w:val="009050E9"/>
    <w:rPr>
      <w:rFonts w:ascii="Times New Roman" w:eastAsiaTheme="majorEastAsia" w:hAnsi="Times New Roman" w:cs="Times New Roman"/>
      <w:b/>
      <w:bCs/>
      <w:color w:val="0D0D0D" w:themeColor="text1" w:themeTint="F2"/>
      <w:sz w:val="28"/>
      <w:szCs w:val="28"/>
    </w:rPr>
  </w:style>
  <w:style w:type="paragraph" w:styleId="af1">
    <w:name w:val="Normal (Web)"/>
    <w:basedOn w:val="a"/>
    <w:uiPriority w:val="99"/>
    <w:unhideWhenUsed/>
    <w:rsid w:val="00B2311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2">
    <w:name w:val="endnote text"/>
    <w:basedOn w:val="a"/>
    <w:link w:val="af3"/>
    <w:uiPriority w:val="99"/>
    <w:semiHidden/>
    <w:unhideWhenUsed/>
    <w:rsid w:val="00174FAD"/>
    <w:pPr>
      <w:spacing w:after="0" w:line="240" w:lineRule="auto"/>
    </w:pPr>
    <w:rPr>
      <w:sz w:val="20"/>
      <w:szCs w:val="20"/>
    </w:rPr>
  </w:style>
  <w:style w:type="character" w:customStyle="1" w:styleId="af3">
    <w:name w:val="Текст концевой сноски Знак"/>
    <w:basedOn w:val="a0"/>
    <w:link w:val="af2"/>
    <w:uiPriority w:val="99"/>
    <w:semiHidden/>
    <w:rsid w:val="00174FAD"/>
    <w:rPr>
      <w:sz w:val="20"/>
      <w:szCs w:val="20"/>
    </w:rPr>
  </w:style>
  <w:style w:type="character" w:styleId="af4">
    <w:name w:val="endnote reference"/>
    <w:basedOn w:val="a0"/>
    <w:uiPriority w:val="99"/>
    <w:semiHidden/>
    <w:unhideWhenUsed/>
    <w:rsid w:val="00174FAD"/>
    <w:rPr>
      <w:vertAlign w:val="superscript"/>
    </w:rPr>
  </w:style>
  <w:style w:type="paragraph" w:styleId="af5">
    <w:name w:val="caption"/>
    <w:basedOn w:val="a"/>
    <w:next w:val="a"/>
    <w:uiPriority w:val="35"/>
    <w:unhideWhenUsed/>
    <w:qFormat/>
    <w:rsid w:val="009A195C"/>
    <w:pPr>
      <w:spacing w:line="240" w:lineRule="auto"/>
    </w:pPr>
    <w:rPr>
      <w:b/>
      <w:bCs/>
      <w:color w:val="4F81BD" w:themeColor="accent1"/>
      <w:sz w:val="18"/>
      <w:szCs w:val="18"/>
    </w:rPr>
  </w:style>
  <w:style w:type="character" w:customStyle="1" w:styleId="12">
    <w:name w:val="Неразрешенное упоминание1"/>
    <w:basedOn w:val="a0"/>
    <w:uiPriority w:val="99"/>
    <w:semiHidden/>
    <w:unhideWhenUsed/>
    <w:rsid w:val="00CC1C4E"/>
    <w:rPr>
      <w:color w:val="605E5C"/>
      <w:shd w:val="clear" w:color="auto" w:fill="E1DFDD"/>
    </w:rPr>
  </w:style>
  <w:style w:type="paragraph" w:styleId="af6">
    <w:name w:val="header"/>
    <w:basedOn w:val="a"/>
    <w:link w:val="af7"/>
    <w:uiPriority w:val="99"/>
    <w:unhideWhenUsed/>
    <w:rsid w:val="00576B4C"/>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576B4C"/>
  </w:style>
  <w:style w:type="paragraph" w:styleId="af8">
    <w:name w:val="footer"/>
    <w:basedOn w:val="a"/>
    <w:link w:val="af9"/>
    <w:uiPriority w:val="99"/>
    <w:unhideWhenUsed/>
    <w:rsid w:val="00576B4C"/>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76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79576">
      <w:bodyDiv w:val="1"/>
      <w:marLeft w:val="0"/>
      <w:marRight w:val="0"/>
      <w:marTop w:val="0"/>
      <w:marBottom w:val="0"/>
      <w:divBdr>
        <w:top w:val="none" w:sz="0" w:space="0" w:color="auto"/>
        <w:left w:val="none" w:sz="0" w:space="0" w:color="auto"/>
        <w:bottom w:val="none" w:sz="0" w:space="0" w:color="auto"/>
        <w:right w:val="none" w:sz="0" w:space="0" w:color="auto"/>
      </w:divBdr>
    </w:div>
    <w:div w:id="1277180551">
      <w:bodyDiv w:val="1"/>
      <w:marLeft w:val="0"/>
      <w:marRight w:val="0"/>
      <w:marTop w:val="0"/>
      <w:marBottom w:val="0"/>
      <w:divBdr>
        <w:top w:val="none" w:sz="0" w:space="0" w:color="auto"/>
        <w:left w:val="none" w:sz="0" w:space="0" w:color="auto"/>
        <w:bottom w:val="none" w:sz="0" w:space="0" w:color="auto"/>
        <w:right w:val="none" w:sz="0" w:space="0" w:color="auto"/>
      </w:divBdr>
    </w:div>
    <w:div w:id="1673219224">
      <w:bodyDiv w:val="1"/>
      <w:marLeft w:val="0"/>
      <w:marRight w:val="0"/>
      <w:marTop w:val="0"/>
      <w:marBottom w:val="0"/>
      <w:divBdr>
        <w:top w:val="none" w:sz="0" w:space="0" w:color="auto"/>
        <w:left w:val="none" w:sz="0" w:space="0" w:color="auto"/>
        <w:bottom w:val="none" w:sz="0" w:space="0" w:color="auto"/>
        <w:right w:val="none" w:sz="0" w:space="0" w:color="auto"/>
      </w:divBdr>
    </w:div>
    <w:div w:id="20444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s728@mail.ru"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4148/wp2017-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doi.org/10.24148/wp2017-17" TargetMode="External"/><Relationship Id="rId10" Type="http://schemas.openxmlformats.org/officeDocument/2006/relationships/hyperlink" Target="https://orcid.org/0000-0003-1016-6111" TargetMode="External"/><Relationship Id="rId4" Type="http://schemas.openxmlformats.org/officeDocument/2006/relationships/settings" Target="settings.xml"/><Relationship Id="rId9" Type="http://schemas.openxmlformats.org/officeDocument/2006/relationships/hyperlink" Target="https://orcid.org/0000-0003-1411-1011"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887685914260717E-2"/>
          <c:y val="4.3650793650793648E-2"/>
          <c:w val="0.87265055409740444"/>
          <c:h val="0.46690382452193474"/>
        </c:manualLayout>
      </c:layout>
      <c:barChart>
        <c:barDir val="col"/>
        <c:grouping val="stacked"/>
        <c:varyColors val="0"/>
        <c:ser>
          <c:idx val="0"/>
          <c:order val="0"/>
          <c:tx>
            <c:strRef>
              <c:f>Лист1!$A$2</c:f>
              <c:strCache>
                <c:ptCount val="1"/>
                <c:pt idx="0">
                  <c:v>Недвижимость и земля в составе основных средств (доля недвижимости экспертно 60%)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Лист1!$B$1:$L$1</c:f>
              <c:strCache>
                <c:ptCount val="11"/>
                <c:pt idx="0">
                  <c:v>01.04.2016</c:v>
                </c:pt>
                <c:pt idx="1">
                  <c:v>01.07.2016</c:v>
                </c:pt>
                <c:pt idx="2">
                  <c:v>01.10.2016</c:v>
                </c:pt>
                <c:pt idx="3">
                  <c:v>01.01.2017</c:v>
                </c:pt>
                <c:pt idx="4">
                  <c:v>01.04.2017</c:v>
                </c:pt>
                <c:pt idx="5">
                  <c:v>01.07.2017</c:v>
                </c:pt>
                <c:pt idx="6">
                  <c:v>01.10.2017</c:v>
                </c:pt>
                <c:pt idx="7">
                  <c:v>01.01.2018</c:v>
                </c:pt>
                <c:pt idx="8">
                  <c:v>01.04.2018</c:v>
                </c:pt>
                <c:pt idx="9">
                  <c:v>01.07.2018</c:v>
                </c:pt>
                <c:pt idx="10">
                  <c:v>01.10.2018</c:v>
                </c:pt>
              </c:strCache>
            </c:strRef>
          </c:cat>
          <c:val>
            <c:numRef>
              <c:f>Лист1!$B$2:$L$2</c:f>
              <c:numCache>
                <c:formatCode>#,##0.00</c:formatCode>
                <c:ptCount val="11"/>
                <c:pt idx="0">
                  <c:v>834.04824299999996</c:v>
                </c:pt>
                <c:pt idx="1">
                  <c:v>836.43804260000002</c:v>
                </c:pt>
                <c:pt idx="2">
                  <c:v>830.64039860000003</c:v>
                </c:pt>
                <c:pt idx="3">
                  <c:v>836.737437</c:v>
                </c:pt>
                <c:pt idx="4">
                  <c:v>777.8601187999999</c:v>
                </c:pt>
                <c:pt idx="5">
                  <c:v>781.04041760000007</c:v>
                </c:pt>
                <c:pt idx="6">
                  <c:v>808.3081911999999</c:v>
                </c:pt>
                <c:pt idx="7">
                  <c:v>811.8297986</c:v>
                </c:pt>
                <c:pt idx="8">
                  <c:v>803.82817979999993</c:v>
                </c:pt>
                <c:pt idx="9">
                  <c:v>821.01576</c:v>
                </c:pt>
                <c:pt idx="10">
                  <c:v>833.45660559999999</c:v>
                </c:pt>
              </c:numCache>
            </c:numRef>
          </c:val>
          <c:extLst>
            <c:ext xmlns:c16="http://schemas.microsoft.com/office/drawing/2014/chart" uri="{C3380CC4-5D6E-409C-BE32-E72D297353CC}">
              <c16:uniqueId val="{00000000-2C45-4A7D-B3DB-4CF6E6406074}"/>
            </c:ext>
          </c:extLst>
        </c:ser>
        <c:ser>
          <c:idx val="1"/>
          <c:order val="1"/>
          <c:tx>
            <c:strRef>
              <c:f>Лист1!$A$3</c:f>
              <c:strCache>
                <c:ptCount val="1"/>
                <c:pt idx="0">
                  <c:v>НВНОД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Лист1!$B$1:$L$1</c:f>
              <c:strCache>
                <c:ptCount val="11"/>
                <c:pt idx="0">
                  <c:v>01.04.2016</c:v>
                </c:pt>
                <c:pt idx="1">
                  <c:v>01.07.2016</c:v>
                </c:pt>
                <c:pt idx="2">
                  <c:v>01.10.2016</c:v>
                </c:pt>
                <c:pt idx="3">
                  <c:v>01.01.2017</c:v>
                </c:pt>
                <c:pt idx="4">
                  <c:v>01.04.2017</c:v>
                </c:pt>
                <c:pt idx="5">
                  <c:v>01.07.2017</c:v>
                </c:pt>
                <c:pt idx="6">
                  <c:v>01.10.2017</c:v>
                </c:pt>
                <c:pt idx="7">
                  <c:v>01.01.2018</c:v>
                </c:pt>
                <c:pt idx="8">
                  <c:v>01.04.2018</c:v>
                </c:pt>
                <c:pt idx="9">
                  <c:v>01.07.2018</c:v>
                </c:pt>
                <c:pt idx="10">
                  <c:v>01.10.2018</c:v>
                </c:pt>
              </c:strCache>
            </c:strRef>
          </c:cat>
          <c:val>
            <c:numRef>
              <c:f>Лист1!$B$3:$L$3</c:f>
              <c:numCache>
                <c:formatCode>#,##0.00</c:formatCode>
                <c:ptCount val="11"/>
                <c:pt idx="0">
                  <c:v>144.58588</c:v>
                </c:pt>
                <c:pt idx="1">
                  <c:v>161.23343499999999</c:v>
                </c:pt>
                <c:pt idx="2">
                  <c:v>162.74231800000001</c:v>
                </c:pt>
                <c:pt idx="3">
                  <c:v>163.603756</c:v>
                </c:pt>
                <c:pt idx="4">
                  <c:v>189.432491</c:v>
                </c:pt>
                <c:pt idx="5">
                  <c:v>191.90268800000001</c:v>
                </c:pt>
                <c:pt idx="6">
                  <c:v>201.63796199999999</c:v>
                </c:pt>
                <c:pt idx="7">
                  <c:v>185.25180900000001</c:v>
                </c:pt>
                <c:pt idx="8">
                  <c:v>245.18628699999999</c:v>
                </c:pt>
                <c:pt idx="9">
                  <c:v>245.769554</c:v>
                </c:pt>
                <c:pt idx="10">
                  <c:v>238.16468800000001</c:v>
                </c:pt>
              </c:numCache>
            </c:numRef>
          </c:val>
          <c:extLst>
            <c:ext xmlns:c16="http://schemas.microsoft.com/office/drawing/2014/chart" uri="{C3380CC4-5D6E-409C-BE32-E72D297353CC}">
              <c16:uniqueId val="{00000001-2C45-4A7D-B3DB-4CF6E6406074}"/>
            </c:ext>
          </c:extLst>
        </c:ser>
        <c:ser>
          <c:idx val="2"/>
          <c:order val="2"/>
          <c:tx>
            <c:strRef>
              <c:f>Лист1!$A$4</c:f>
              <c:strCache>
                <c:ptCount val="1"/>
                <c:pt idx="0">
                  <c:v>ДАПП (недвижимость экспертно)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Лист1!$B$1:$L$1</c:f>
              <c:strCache>
                <c:ptCount val="11"/>
                <c:pt idx="0">
                  <c:v>01.04.2016</c:v>
                </c:pt>
                <c:pt idx="1">
                  <c:v>01.07.2016</c:v>
                </c:pt>
                <c:pt idx="2">
                  <c:v>01.10.2016</c:v>
                </c:pt>
                <c:pt idx="3">
                  <c:v>01.01.2017</c:v>
                </c:pt>
                <c:pt idx="4">
                  <c:v>01.04.2017</c:v>
                </c:pt>
                <c:pt idx="5">
                  <c:v>01.07.2017</c:v>
                </c:pt>
                <c:pt idx="6">
                  <c:v>01.10.2017</c:v>
                </c:pt>
                <c:pt idx="7">
                  <c:v>01.01.2018</c:v>
                </c:pt>
                <c:pt idx="8">
                  <c:v>01.04.2018</c:v>
                </c:pt>
                <c:pt idx="9">
                  <c:v>01.07.2018</c:v>
                </c:pt>
                <c:pt idx="10">
                  <c:v>01.10.2018</c:v>
                </c:pt>
              </c:strCache>
            </c:strRef>
          </c:cat>
          <c:val>
            <c:numRef>
              <c:f>Лист1!$B$4:$L$4</c:f>
              <c:numCache>
                <c:formatCode>#,##0.00</c:formatCode>
                <c:ptCount val="11"/>
                <c:pt idx="0">
                  <c:v>57.740367599999999</c:v>
                </c:pt>
                <c:pt idx="1">
                  <c:v>62.4312714</c:v>
                </c:pt>
                <c:pt idx="2">
                  <c:v>62.540360999999997</c:v>
                </c:pt>
                <c:pt idx="3">
                  <c:v>67.014448799999997</c:v>
                </c:pt>
                <c:pt idx="4">
                  <c:v>71.587390799999994</c:v>
                </c:pt>
                <c:pt idx="5">
                  <c:v>76.569800399999991</c:v>
                </c:pt>
                <c:pt idx="6">
                  <c:v>73.002937200000005</c:v>
                </c:pt>
                <c:pt idx="7">
                  <c:v>73.77234</c:v>
                </c:pt>
                <c:pt idx="8">
                  <c:v>66.784374</c:v>
                </c:pt>
                <c:pt idx="9">
                  <c:v>61.908997199999995</c:v>
                </c:pt>
                <c:pt idx="10">
                  <c:v>62.281849799999996</c:v>
                </c:pt>
              </c:numCache>
            </c:numRef>
          </c:val>
          <c:extLst>
            <c:ext xmlns:c16="http://schemas.microsoft.com/office/drawing/2014/chart" uri="{C3380CC4-5D6E-409C-BE32-E72D297353CC}">
              <c16:uniqueId val="{00000002-2C45-4A7D-B3DB-4CF6E6406074}"/>
            </c:ext>
          </c:extLst>
        </c:ser>
        <c:dLbls>
          <c:showLegendKey val="0"/>
          <c:showVal val="0"/>
          <c:showCatName val="0"/>
          <c:showSerName val="0"/>
          <c:showPercent val="0"/>
          <c:showBubbleSize val="0"/>
        </c:dLbls>
        <c:gapWidth val="150"/>
        <c:overlap val="100"/>
        <c:axId val="186167680"/>
        <c:axId val="186169216"/>
      </c:barChart>
      <c:lineChart>
        <c:grouping val="standard"/>
        <c:varyColors val="0"/>
        <c:ser>
          <c:idx val="3"/>
          <c:order val="3"/>
          <c:tx>
            <c:strRef>
              <c:f>Лист1!$A$5</c:f>
              <c:strCache>
                <c:ptCount val="1"/>
                <c:pt idx="0">
                  <c:v>Доля в активах банковской системы</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Лист1!$B$1:$L$1</c:f>
              <c:strCache>
                <c:ptCount val="11"/>
                <c:pt idx="0">
                  <c:v>01.04.2016</c:v>
                </c:pt>
                <c:pt idx="1">
                  <c:v>01.07.2016</c:v>
                </c:pt>
                <c:pt idx="2">
                  <c:v>01.10.2016</c:v>
                </c:pt>
                <c:pt idx="3">
                  <c:v>01.01.2017</c:v>
                </c:pt>
                <c:pt idx="4">
                  <c:v>01.04.2017</c:v>
                </c:pt>
                <c:pt idx="5">
                  <c:v>01.07.2017</c:v>
                </c:pt>
                <c:pt idx="6">
                  <c:v>01.10.2017</c:v>
                </c:pt>
                <c:pt idx="7">
                  <c:v>01.01.2018</c:v>
                </c:pt>
                <c:pt idx="8">
                  <c:v>01.04.2018</c:v>
                </c:pt>
                <c:pt idx="9">
                  <c:v>01.07.2018</c:v>
                </c:pt>
                <c:pt idx="10">
                  <c:v>01.10.2018</c:v>
                </c:pt>
              </c:strCache>
            </c:strRef>
          </c:cat>
          <c:val>
            <c:numRef>
              <c:f>Лист1!$B$5:$L$5</c:f>
              <c:numCache>
                <c:formatCode>0.00%</c:formatCode>
                <c:ptCount val="11"/>
                <c:pt idx="0">
                  <c:v>1.239660266115104E-2</c:v>
                </c:pt>
                <c:pt idx="1">
                  <c:v>1.2680428434453916E-2</c:v>
                </c:pt>
                <c:pt idx="2">
                  <c:v>1.2630433257932368E-2</c:v>
                </c:pt>
                <c:pt idx="3">
                  <c:v>1.3331404504940005E-2</c:v>
                </c:pt>
                <c:pt idx="4">
                  <c:v>1.3113556465916358E-2</c:v>
                </c:pt>
                <c:pt idx="5">
                  <c:v>1.2992549783772999E-2</c:v>
                </c:pt>
                <c:pt idx="6">
                  <c:v>1.3165957021779404E-2</c:v>
                </c:pt>
                <c:pt idx="7">
                  <c:v>1.2569912324691268E-2</c:v>
                </c:pt>
                <c:pt idx="8">
                  <c:v>1.3346637782705034E-2</c:v>
                </c:pt>
                <c:pt idx="9">
                  <c:v>1.3035590772745451E-2</c:v>
                </c:pt>
                <c:pt idx="10">
                  <c:v>1.2727763383971661E-2</c:v>
                </c:pt>
              </c:numCache>
            </c:numRef>
          </c:val>
          <c:smooth val="0"/>
          <c:extLst>
            <c:ext xmlns:c16="http://schemas.microsoft.com/office/drawing/2014/chart" uri="{C3380CC4-5D6E-409C-BE32-E72D297353CC}">
              <c16:uniqueId val="{00000003-2C45-4A7D-B3DB-4CF6E6406074}"/>
            </c:ext>
          </c:extLst>
        </c:ser>
        <c:dLbls>
          <c:showLegendKey val="0"/>
          <c:showVal val="0"/>
          <c:showCatName val="0"/>
          <c:showSerName val="0"/>
          <c:showPercent val="0"/>
          <c:showBubbleSize val="0"/>
        </c:dLbls>
        <c:marker val="1"/>
        <c:smooth val="0"/>
        <c:axId val="186268288"/>
        <c:axId val="186266752"/>
      </c:lineChart>
      <c:catAx>
        <c:axId val="186167680"/>
        <c:scaling>
          <c:orientation val="minMax"/>
        </c:scaling>
        <c:delete val="0"/>
        <c:axPos val="b"/>
        <c:numFmt formatCode="General" sourceLinked="0"/>
        <c:majorTickMark val="out"/>
        <c:minorTickMark val="none"/>
        <c:tickLblPos val="nextTo"/>
        <c:crossAx val="186169216"/>
        <c:crosses val="autoZero"/>
        <c:auto val="1"/>
        <c:lblAlgn val="ctr"/>
        <c:lblOffset val="100"/>
        <c:noMultiLvlLbl val="0"/>
      </c:catAx>
      <c:valAx>
        <c:axId val="186169216"/>
        <c:scaling>
          <c:orientation val="minMax"/>
          <c:max val="1500"/>
          <c:min val="0"/>
        </c:scaling>
        <c:delete val="0"/>
        <c:axPos val="l"/>
        <c:majorGridlines/>
        <c:numFmt formatCode="#,##0.00" sourceLinked="1"/>
        <c:majorTickMark val="out"/>
        <c:minorTickMark val="none"/>
        <c:tickLblPos val="nextTo"/>
        <c:crossAx val="186167680"/>
        <c:crosses val="autoZero"/>
        <c:crossBetween val="between"/>
      </c:valAx>
      <c:valAx>
        <c:axId val="186266752"/>
        <c:scaling>
          <c:orientation val="minMax"/>
          <c:min val="0"/>
        </c:scaling>
        <c:delete val="0"/>
        <c:axPos val="r"/>
        <c:numFmt formatCode="0.00%" sourceLinked="1"/>
        <c:majorTickMark val="out"/>
        <c:minorTickMark val="none"/>
        <c:tickLblPos val="nextTo"/>
        <c:crossAx val="186268288"/>
        <c:crosses val="max"/>
        <c:crossBetween val="between"/>
      </c:valAx>
      <c:catAx>
        <c:axId val="186268288"/>
        <c:scaling>
          <c:orientation val="minMax"/>
        </c:scaling>
        <c:delete val="1"/>
        <c:axPos val="b"/>
        <c:numFmt formatCode="General" sourceLinked="1"/>
        <c:majorTickMark val="out"/>
        <c:minorTickMark val="none"/>
        <c:tickLblPos val="nextTo"/>
        <c:crossAx val="186266752"/>
        <c:crosses val="autoZero"/>
        <c:auto val="1"/>
        <c:lblAlgn val="ctr"/>
        <c:lblOffset val="100"/>
        <c:noMultiLvlLbl val="0"/>
      </c:catAx>
    </c:plotArea>
    <c:legend>
      <c:legendPos val="b"/>
      <c:layout>
        <c:manualLayout>
          <c:xMode val="edge"/>
          <c:yMode val="edge"/>
          <c:x val="0"/>
          <c:y val="0.75297931508561433"/>
          <c:w val="0.99843310451578171"/>
          <c:h val="0.24702068491438575"/>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tx>
            <c:strRef>
              <c:f>Лист1!$B$1</c:f>
              <c:strCache>
                <c:ptCount val="1"/>
                <c:pt idx="0">
                  <c:v>Продажи</c:v>
                </c:pt>
              </c:strCache>
            </c:strRef>
          </c:tx>
          <c:dLbls>
            <c:dLbl>
              <c:idx val="0"/>
              <c:layout>
                <c:manualLayout>
                  <c:x val="2.8764478764478765E-2"/>
                  <c:y val="7.33889428205036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FD-49D6-B745-3B271B61AC9F}"/>
                </c:ext>
              </c:extLst>
            </c:dLbl>
            <c:dLbl>
              <c:idx val="1"/>
              <c:layout>
                <c:manualLayout>
                  <c:x val="-0.26835304653441927"/>
                  <c:y val="9.5177683995700064E-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5A-4A1E-8D39-9F051179594C}"/>
                </c:ext>
              </c:extLst>
            </c:dLbl>
            <c:dLbl>
              <c:idx val="3"/>
              <c:layout>
                <c:manualLayout>
                  <c:x val="2.9874877496536108E-2"/>
                  <c:y val="-7.100375134972447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5A-4A1E-8D39-9F051179594C}"/>
                </c:ext>
              </c:extLst>
            </c:dLbl>
            <c:dLbl>
              <c:idx val="4"/>
              <c:layout>
                <c:manualLayout>
                  <c:x val="0.19544320908384305"/>
                  <c:y val="-0.130324479460505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5A-4A1E-8D39-9F051179594C}"/>
                </c:ext>
              </c:extLst>
            </c:dLbl>
            <c:dLbl>
              <c:idx val="5"/>
              <c:layout>
                <c:manualLayout>
                  <c:x val="-0.1330472103004291"/>
                  <c:y val="7.6142147196560052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5A-4A1E-8D39-9F051179594C}"/>
                </c:ext>
              </c:extLst>
            </c:dLbl>
            <c:dLbl>
              <c:idx val="7"/>
              <c:layout>
                <c:manualLayout>
                  <c:x val="-0.13519313304721031"/>
                  <c:y val="6.9796161972294341E-1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5A-4A1E-8D39-9F051179594C}"/>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Лист1!$A$2:$A$9</c:f>
              <c:strCache>
                <c:ptCount val="8"/>
                <c:pt idx="0">
                  <c:v>Недвижимость (кроме земли) в составе основных средств (60%)</c:v>
                </c:pt>
                <c:pt idx="1">
                  <c:v>Земля в составе основных средств</c:v>
                </c:pt>
                <c:pt idx="2">
                  <c:v>Земля в составе НВНОД</c:v>
                </c:pt>
                <c:pt idx="3">
                  <c:v>Земля в составе НВНОД, сданная в аренду</c:v>
                </c:pt>
                <c:pt idx="4">
                  <c:v>Недвижимость в составе НВНОД</c:v>
                </c:pt>
                <c:pt idx="5">
                  <c:v>Недвижимость в составе НВНОД, сданная в аренду</c:v>
                </c:pt>
                <c:pt idx="6">
                  <c:v>Вложения в НВНОД</c:v>
                </c:pt>
                <c:pt idx="7">
                  <c:v>Недвижимость в составе ДАПП (60%)</c:v>
                </c:pt>
              </c:strCache>
            </c:strRef>
          </c:cat>
          <c:val>
            <c:numRef>
              <c:f>Лист1!$B$2:$B$9</c:f>
              <c:numCache>
                <c:formatCode>#,##0.00</c:formatCode>
                <c:ptCount val="8"/>
                <c:pt idx="0">
                  <c:v>816.8996856</c:v>
                </c:pt>
                <c:pt idx="1">
                  <c:v>16.556920000000002</c:v>
                </c:pt>
                <c:pt idx="2">
                  <c:v>104.363055</c:v>
                </c:pt>
                <c:pt idx="3">
                  <c:v>14.723262</c:v>
                </c:pt>
                <c:pt idx="4">
                  <c:v>64.501133999999993</c:v>
                </c:pt>
                <c:pt idx="5">
                  <c:v>46.424461000000001</c:v>
                </c:pt>
                <c:pt idx="6">
                  <c:v>8.1527759999999994</c:v>
                </c:pt>
                <c:pt idx="7">
                  <c:v>62.281849799999996</c:v>
                </c:pt>
              </c:numCache>
            </c:numRef>
          </c:val>
          <c:extLst>
            <c:ext xmlns:c16="http://schemas.microsoft.com/office/drawing/2014/chart" uri="{C3380CC4-5D6E-409C-BE32-E72D297353CC}">
              <c16:uniqueId val="{00000005-F15A-4A1E-8D39-9F051179594C}"/>
            </c:ext>
          </c:extLst>
        </c:ser>
        <c:dLbls>
          <c:showLegendKey val="0"/>
          <c:showVal val="0"/>
          <c:showCatName val="0"/>
          <c:showSerName val="0"/>
          <c:showPercent val="0"/>
          <c:showBubbleSize val="0"/>
          <c:showLeaderLines val="1"/>
        </c:dLbls>
        <c:gapWidth val="100"/>
        <c:secondPieSize val="75"/>
        <c:serLines/>
      </c:ofPieChart>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760723689443119E-2"/>
          <c:y val="4.3650793650793648E-2"/>
          <c:w val="0.89684746344505983"/>
          <c:h val="0.47675353080864891"/>
        </c:manualLayout>
      </c:layout>
      <c:barChart>
        <c:barDir val="col"/>
        <c:grouping val="clustered"/>
        <c:varyColors val="0"/>
        <c:ser>
          <c:idx val="0"/>
          <c:order val="0"/>
          <c:tx>
            <c:strRef>
              <c:f>Лист1!$B$1</c:f>
              <c:strCache>
                <c:ptCount val="1"/>
                <c:pt idx="0">
                  <c:v>Имущество, принятое в обеспечение по размещенным            средствам, кроме ценных бумаг и  драгоценных  металлов трлн. 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ПАО Сбербанк</c:v>
                </c:pt>
                <c:pt idx="1">
                  <c:v>Банк ВТБ (ПАО), АО "БМ-Банк"</c:v>
                </c:pt>
                <c:pt idx="2">
                  <c:v>Банк ГПБ (АО)</c:v>
                </c:pt>
                <c:pt idx="3">
                  <c:v>АО "Россельхозбанк"</c:v>
                </c:pt>
                <c:pt idx="4">
                  <c:v>АО ЮниКредит Банк</c:v>
                </c:pt>
                <c:pt idx="5">
                  <c:v>АО "АЛЬФА-БАНК"</c:v>
                </c:pt>
                <c:pt idx="6">
                  <c:v>ПАО Банк "ФК Открытие"</c:v>
                </c:pt>
                <c:pt idx="7">
                  <c:v>ПАО "Банк "Санкт-Петербург"</c:v>
                </c:pt>
                <c:pt idx="8">
                  <c:v>ПАО "Промсвязьбанк"</c:v>
                </c:pt>
                <c:pt idx="9">
                  <c:v>ПАО Банк ЗЕНИТ</c:v>
                </c:pt>
                <c:pt idx="10">
                  <c:v>Остальные банки (451 кредитная организация</c:v>
                </c:pt>
              </c:strCache>
            </c:strRef>
          </c:cat>
          <c:val>
            <c:numRef>
              <c:f>Лист1!$B$2:$B$12</c:f>
              <c:numCache>
                <c:formatCode>#,##0.00</c:formatCode>
                <c:ptCount val="11"/>
                <c:pt idx="0">
                  <c:v>10.462005436</c:v>
                </c:pt>
                <c:pt idx="1">
                  <c:v>2.7352662890000001</c:v>
                </c:pt>
                <c:pt idx="2">
                  <c:v>2.3997677529999999</c:v>
                </c:pt>
                <c:pt idx="3">
                  <c:v>1.6791053819999999</c:v>
                </c:pt>
                <c:pt idx="4">
                  <c:v>1.1248697839999999</c:v>
                </c:pt>
                <c:pt idx="5">
                  <c:v>1.0147371279999999</c:v>
                </c:pt>
                <c:pt idx="6">
                  <c:v>0.55228494400000006</c:v>
                </c:pt>
                <c:pt idx="7">
                  <c:v>0.423991481</c:v>
                </c:pt>
                <c:pt idx="8">
                  <c:v>0.33941115999999999</c:v>
                </c:pt>
                <c:pt idx="9">
                  <c:v>0.28099580299999999</c:v>
                </c:pt>
                <c:pt idx="10">
                  <c:v>35.265474494000003</c:v>
                </c:pt>
              </c:numCache>
            </c:numRef>
          </c:val>
          <c:extLst>
            <c:ext xmlns:c16="http://schemas.microsoft.com/office/drawing/2014/chart" uri="{C3380CC4-5D6E-409C-BE32-E72D297353CC}">
              <c16:uniqueId val="{00000000-7346-4BCD-8BDB-3D444DBC17E4}"/>
            </c:ext>
          </c:extLst>
        </c:ser>
        <c:dLbls>
          <c:showLegendKey val="0"/>
          <c:showVal val="0"/>
          <c:showCatName val="0"/>
          <c:showSerName val="0"/>
          <c:showPercent val="0"/>
          <c:showBubbleSize val="0"/>
        </c:dLbls>
        <c:gapWidth val="150"/>
        <c:axId val="191715584"/>
        <c:axId val="194580480"/>
      </c:barChart>
      <c:catAx>
        <c:axId val="191715584"/>
        <c:scaling>
          <c:orientation val="minMax"/>
        </c:scaling>
        <c:delete val="0"/>
        <c:axPos val="b"/>
        <c:numFmt formatCode="General" sourceLinked="0"/>
        <c:majorTickMark val="out"/>
        <c:minorTickMark val="none"/>
        <c:tickLblPos val="nextTo"/>
        <c:txPr>
          <a:bodyPr rot="-5400000" vert="horz"/>
          <a:lstStyle/>
          <a:p>
            <a:pPr>
              <a:defRPr/>
            </a:pPr>
            <a:endParaRPr lang="ru-RU"/>
          </a:p>
        </c:txPr>
        <c:crossAx val="194580480"/>
        <c:crosses val="autoZero"/>
        <c:auto val="1"/>
        <c:lblAlgn val="ctr"/>
        <c:lblOffset val="100"/>
        <c:noMultiLvlLbl val="0"/>
      </c:catAx>
      <c:valAx>
        <c:axId val="194580480"/>
        <c:scaling>
          <c:orientation val="minMax"/>
        </c:scaling>
        <c:delete val="0"/>
        <c:axPos val="l"/>
        <c:majorGridlines/>
        <c:numFmt formatCode="#,##0.00" sourceLinked="1"/>
        <c:majorTickMark val="out"/>
        <c:minorTickMark val="none"/>
        <c:tickLblPos val="nextTo"/>
        <c:crossAx val="191715584"/>
        <c:crosses val="autoZero"/>
        <c:crossBetween val="between"/>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77376786235054E-2"/>
          <c:y val="4.4057617797775277E-2"/>
          <c:w val="0.88625966025080194"/>
          <c:h val="0.7302092830501451"/>
        </c:manualLayout>
      </c:layout>
      <c:barChart>
        <c:barDir val="col"/>
        <c:grouping val="percentStacked"/>
        <c:varyColors val="0"/>
        <c:ser>
          <c:idx val="0"/>
          <c:order val="0"/>
          <c:tx>
            <c:strRef>
              <c:f>Лист1!$B$1</c:f>
              <c:strCache>
                <c:ptCount val="1"/>
                <c:pt idx="0">
                  <c:v>Недвижимость (включая землю) в составе основных средств*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ПАО Сбербанк</c:v>
                </c:pt>
                <c:pt idx="1">
                  <c:v>Банк ВТБ (ПАО), БМ-Банк (ПАО)</c:v>
                </c:pt>
              </c:strCache>
            </c:strRef>
          </c:cat>
          <c:val>
            <c:numRef>
              <c:f>Лист1!$B$2:$B$3</c:f>
              <c:numCache>
                <c:formatCode>0.00</c:formatCode>
                <c:ptCount val="2"/>
                <c:pt idx="0">
                  <c:v>353.24437979999999</c:v>
                </c:pt>
                <c:pt idx="1">
                  <c:v>100.0413922</c:v>
                </c:pt>
              </c:numCache>
            </c:numRef>
          </c:val>
          <c:extLst>
            <c:ext xmlns:c16="http://schemas.microsoft.com/office/drawing/2014/chart" uri="{C3380CC4-5D6E-409C-BE32-E72D297353CC}">
              <c16:uniqueId val="{00000000-874E-4E68-A465-21C2D8415D26}"/>
            </c:ext>
          </c:extLst>
        </c:ser>
        <c:ser>
          <c:idx val="1"/>
          <c:order val="1"/>
          <c:tx>
            <c:strRef>
              <c:f>Лист1!$C$1</c:f>
              <c:strCache>
                <c:ptCount val="1"/>
                <c:pt idx="0">
                  <c:v>Недвижимость в составе НВНОД (включая РВП)</c:v>
                </c:pt>
              </c:strCache>
            </c:strRef>
          </c:tx>
          <c:invertIfNegative val="0"/>
          <c:dLbls>
            <c:dLbl>
              <c:idx val="0"/>
              <c:layout>
                <c:manualLayout>
                  <c:x val="0.11126960233753778"/>
                  <c:y val="3.75939849624060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4E-4E68-A465-21C2D8415D2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ПАО Сбербанк</c:v>
                </c:pt>
                <c:pt idx="1">
                  <c:v>Банк ВТБ (ПАО), БМ-Банк (ПАО)</c:v>
                </c:pt>
              </c:strCache>
            </c:strRef>
          </c:cat>
          <c:val>
            <c:numRef>
              <c:f>Лист1!$C$2:$C$3</c:f>
              <c:numCache>
                <c:formatCode>0.00</c:formatCode>
                <c:ptCount val="2"/>
                <c:pt idx="0">
                  <c:v>5.4267240000000001</c:v>
                </c:pt>
                <c:pt idx="1">
                  <c:v>111.54315199999999</c:v>
                </c:pt>
              </c:numCache>
            </c:numRef>
          </c:val>
          <c:extLst>
            <c:ext xmlns:c16="http://schemas.microsoft.com/office/drawing/2014/chart" uri="{C3380CC4-5D6E-409C-BE32-E72D297353CC}">
              <c16:uniqueId val="{00000002-874E-4E68-A465-21C2D8415D26}"/>
            </c:ext>
          </c:extLst>
        </c:ser>
        <c:ser>
          <c:idx val="2"/>
          <c:order val="2"/>
          <c:tx>
            <c:strRef>
              <c:f>Лист1!$D$1</c:f>
              <c:strCache>
                <c:ptCount val="1"/>
                <c:pt idx="0">
                  <c:v>Недвижимость в составе ДАПП (включая РВП)*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ПАО Сбербанк</c:v>
                </c:pt>
                <c:pt idx="1">
                  <c:v>Банк ВТБ (ПАО), БМ-Банк (ПАО)</c:v>
                </c:pt>
              </c:strCache>
            </c:strRef>
          </c:cat>
          <c:val>
            <c:numRef>
              <c:f>Лист1!$D$2:$D$3</c:f>
              <c:numCache>
                <c:formatCode>0.00</c:formatCode>
                <c:ptCount val="2"/>
                <c:pt idx="0">
                  <c:v>9.5456094</c:v>
                </c:pt>
                <c:pt idx="1">
                  <c:v>1.8096083999999999</c:v>
                </c:pt>
              </c:numCache>
            </c:numRef>
          </c:val>
          <c:extLst>
            <c:ext xmlns:c16="http://schemas.microsoft.com/office/drawing/2014/chart" uri="{C3380CC4-5D6E-409C-BE32-E72D297353CC}">
              <c16:uniqueId val="{00000003-874E-4E68-A465-21C2D8415D26}"/>
            </c:ext>
          </c:extLst>
        </c:ser>
        <c:dLbls>
          <c:showLegendKey val="0"/>
          <c:showVal val="0"/>
          <c:showCatName val="0"/>
          <c:showSerName val="0"/>
          <c:showPercent val="0"/>
          <c:showBubbleSize val="0"/>
        </c:dLbls>
        <c:gapWidth val="150"/>
        <c:overlap val="100"/>
        <c:axId val="204894592"/>
        <c:axId val="204896128"/>
      </c:barChart>
      <c:catAx>
        <c:axId val="204894592"/>
        <c:scaling>
          <c:orientation val="minMax"/>
        </c:scaling>
        <c:delete val="0"/>
        <c:axPos val="b"/>
        <c:numFmt formatCode="General" sourceLinked="0"/>
        <c:majorTickMark val="out"/>
        <c:minorTickMark val="none"/>
        <c:tickLblPos val="nextTo"/>
        <c:crossAx val="204896128"/>
        <c:crosses val="autoZero"/>
        <c:auto val="1"/>
        <c:lblAlgn val="ctr"/>
        <c:lblOffset val="100"/>
        <c:noMultiLvlLbl val="0"/>
      </c:catAx>
      <c:valAx>
        <c:axId val="204896128"/>
        <c:scaling>
          <c:orientation val="minMax"/>
        </c:scaling>
        <c:delete val="0"/>
        <c:axPos val="l"/>
        <c:majorGridlines/>
        <c:numFmt formatCode="0%" sourceLinked="1"/>
        <c:majorTickMark val="out"/>
        <c:minorTickMark val="none"/>
        <c:tickLblPos val="nextTo"/>
        <c:crossAx val="204894592"/>
        <c:crosses val="autoZero"/>
        <c:crossBetween val="between"/>
      </c:valAx>
    </c:plotArea>
    <c:legend>
      <c:legendPos val="b"/>
      <c:layout>
        <c:manualLayout>
          <c:xMode val="edge"/>
          <c:yMode val="edge"/>
          <c:x val="0"/>
          <c:y val="0.85174826830856665"/>
          <c:w val="0.6388421895781965"/>
          <c:h val="0.1482517316914333"/>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0.63913</cdr:x>
      <cdr:y>0.85464</cdr:y>
    </cdr:from>
    <cdr:to>
      <cdr:x>1</cdr:x>
      <cdr:y>1</cdr:y>
    </cdr:to>
    <cdr:sp macro="" textlink="">
      <cdr:nvSpPr>
        <cdr:cNvPr id="2" name="Поле 1"/>
        <cdr:cNvSpPr txBox="1"/>
      </cdr:nvSpPr>
      <cdr:spPr>
        <a:xfrm xmlns:a="http://schemas.openxmlformats.org/drawingml/2006/main">
          <a:off x="3793067" y="2887134"/>
          <a:ext cx="2141643" cy="4910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a:latin typeface="Times New Roman" panose="02020603050405020304" pitchFamily="18" charset="0"/>
              <a:cs typeface="Times New Roman" panose="02020603050405020304" pitchFamily="18" charset="0"/>
            </a:rPr>
            <a:t>* - доля</a:t>
          </a:r>
          <a:r>
            <a:rPr lang="ru-RU" sz="800" baseline="0">
              <a:latin typeface="Times New Roman" panose="02020603050405020304" pitchFamily="18" charset="0"/>
              <a:cs typeface="Times New Roman" panose="02020603050405020304" pitchFamily="18" charset="0"/>
            </a:rPr>
            <a:t> недвижимости оценена экспертно на уровне 60% от балансовой стоимости основных средств</a:t>
          </a:r>
          <a:endParaRPr lang="ru-RU" sz="8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4BD54-64B2-4063-B1FF-3AE6DEFE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1</Pages>
  <Words>7533</Words>
  <Characters>42944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Стерник;Телешев Григорий</dc:creator>
  <cp:lastModifiedBy>Сергей Стерник</cp:lastModifiedBy>
  <cp:revision>71</cp:revision>
  <cp:lastPrinted>2018-10-29T11:37:00Z</cp:lastPrinted>
  <dcterms:created xsi:type="dcterms:W3CDTF">2018-12-04T07:20:00Z</dcterms:created>
  <dcterms:modified xsi:type="dcterms:W3CDTF">2019-03-14T20:30:00Z</dcterms:modified>
</cp:coreProperties>
</file>